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4705118">
      <w:pPr>
        <w:jc w:val="center"/>
        <w:rPr>
          <w:rFonts w:hint="eastAsia" w:asciiTheme="majorEastAsia" w:hAnsiTheme="majorEastAsia" w:eastAsiaTheme="majorEastAsia" w:cstheme="majorEastAsia"/>
          <w:b/>
          <w:bCs/>
          <w:color w:val="auto"/>
          <w:sz w:val="32"/>
          <w:szCs w:val="32"/>
          <w:highlight w:val="none"/>
        </w:rPr>
      </w:pPr>
      <w:r>
        <w:rPr>
          <w:rFonts w:hint="eastAsia" w:asciiTheme="majorEastAsia" w:hAnsiTheme="majorEastAsia" w:eastAsiaTheme="majorEastAsia" w:cstheme="majorEastAsia"/>
          <w:b/>
          <w:bCs/>
          <w:color w:val="auto"/>
          <w:sz w:val="32"/>
          <w:szCs w:val="32"/>
          <w:highlight w:val="none"/>
        </w:rPr>
        <w:t>初步采购需求</w:t>
      </w:r>
    </w:p>
    <w:p w14:paraId="3FBB5F85">
      <w:pPr>
        <w:spacing w:line="360" w:lineRule="auto"/>
        <w:rPr>
          <w:rFonts w:hint="eastAsia"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b/>
          <w:color w:val="auto"/>
          <w:sz w:val="24"/>
          <w:szCs w:val="24"/>
          <w:highlight w:val="none"/>
        </w:rPr>
        <w:t>一、人员岗位设置要求</w:t>
      </w:r>
      <w:bookmarkStart w:id="0" w:name="_GoBack"/>
      <w:bookmarkEnd w:id="0"/>
    </w:p>
    <w:p w14:paraId="12934EC0">
      <w:pPr>
        <w:spacing w:line="360" w:lineRule="auto"/>
        <w:ind w:firstLine="480"/>
        <w:rPr>
          <w:rFonts w:hint="eastAsia"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按照卫生专业技术人员（以下简称“校医”）配备标准的有关规定，对白云区寄宿制及600名学生以上非寄宿制公办中小学校进行校医配备工作，以保障学校卫生，促进师生健康，实现全区按标准配备校医的工作目标。</w:t>
      </w:r>
    </w:p>
    <w:p w14:paraId="6CE44913">
      <w:pPr>
        <w:spacing w:line="360" w:lineRule="auto"/>
        <w:rPr>
          <w:rFonts w:hint="eastAsia"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1．寄宿制校区：按照3名校医的标准配备，其中执业医生1名、执业护士2名。</w:t>
      </w:r>
    </w:p>
    <w:p w14:paraId="32A03E43">
      <w:pPr>
        <w:spacing w:line="360" w:lineRule="auto"/>
        <w:rPr>
          <w:rFonts w:hint="eastAsia"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2．600名学生以上非寄宿制校区：按照600:1的标准配备校医。其中，600-1200名（不含1200名）学生的，配执业护士1名；1200-1800名（不含1800名）学生的，配执业医生1名、执业护士1名；1800名学生及以上的，配执业医生1名、执业护士2名。</w:t>
      </w:r>
    </w:p>
    <w:p w14:paraId="42B6ED65">
      <w:pPr>
        <w:spacing w:line="360" w:lineRule="auto"/>
        <w:rPr>
          <w:rFonts w:hint="eastAsia"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3.全区共计需配备医生32名、护士156名。</w:t>
      </w:r>
    </w:p>
    <w:p w14:paraId="6750CE5C">
      <w:pPr>
        <w:spacing w:line="360" w:lineRule="auto"/>
        <w:rPr>
          <w:rFonts w:hint="eastAsia"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b/>
          <w:color w:val="auto"/>
          <w:sz w:val="24"/>
          <w:szCs w:val="24"/>
          <w:highlight w:val="none"/>
        </w:rPr>
        <w:t>二、岗位要求及职责</w:t>
      </w:r>
    </w:p>
    <w:p w14:paraId="6E98C36B">
      <w:pPr>
        <w:spacing w:line="360" w:lineRule="auto"/>
        <w:rPr>
          <w:rFonts w:hint="eastAsia"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1.岗位要求：</w:t>
      </w:r>
    </w:p>
    <w:p w14:paraId="27A50F4E">
      <w:pPr>
        <w:spacing w:line="360" w:lineRule="auto"/>
        <w:rPr>
          <w:rFonts w:hint="eastAsia"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（1）思想政治素质好，拥护党的路线、方针、政策，具有坚定正确的政治方向和全心全意为人民服务的宗旨意识。</w:t>
      </w:r>
    </w:p>
    <w:p w14:paraId="64CCD77E">
      <w:pPr>
        <w:spacing w:line="360" w:lineRule="auto"/>
        <w:rPr>
          <w:rFonts w:hint="eastAsia"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（2）有事业心、责任感强，具有良好的品德和职业道德，愿意履行编外合同制工作人员聘用岗位职责与义务，服从统一调配。具有拟聘岗位要求的工作能力、身体条件。</w:t>
      </w:r>
    </w:p>
    <w:p w14:paraId="4B07E9CC">
      <w:pPr>
        <w:spacing w:line="360" w:lineRule="auto"/>
        <w:rPr>
          <w:rFonts w:hint="eastAsia"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（3）遵纪守法，服从安排，具有较强的组织纪律观念，无违法违纪行为，无违反计划生育政策。</w:t>
      </w:r>
    </w:p>
    <w:p w14:paraId="436D8883">
      <w:pPr>
        <w:spacing w:line="360" w:lineRule="auto"/>
        <w:rPr>
          <w:rFonts w:hint="eastAsia"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（4）医师、护士均须持有相应资格证、执业证和职称证书，具有儿科或儿童保健等相关经验优先。</w:t>
      </w:r>
    </w:p>
    <w:p w14:paraId="5B6A6BF5">
      <w:pPr>
        <w:spacing w:line="360" w:lineRule="auto"/>
        <w:rPr>
          <w:rFonts w:hint="eastAsia"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（5）拟聘校医须具有：医生大专或以上的学历、护士中专或以上的学历。</w:t>
      </w:r>
    </w:p>
    <w:p w14:paraId="02F1A244">
      <w:pPr>
        <w:spacing w:line="360" w:lineRule="auto"/>
        <w:rPr>
          <w:rFonts w:hint="eastAsia"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（6）初级职称年龄不超过55周岁（</w:t>
      </w:r>
      <w:r>
        <w:rPr>
          <w:rFonts w:hint="eastAsia" w:asciiTheme="majorEastAsia" w:hAnsiTheme="majorEastAsia" w:eastAsiaTheme="majorEastAsia" w:cstheme="majorEastAsia"/>
          <w:color w:val="auto"/>
          <w:sz w:val="24"/>
          <w:szCs w:val="24"/>
          <w:highlight w:val="none"/>
        </w:rPr>
        <w:t>196</w:t>
      </w:r>
      <w:r>
        <w:rPr>
          <w:rFonts w:hint="eastAsia" w:asciiTheme="majorEastAsia" w:hAnsiTheme="majorEastAsia" w:eastAsiaTheme="majorEastAsia" w:cstheme="majorEastAsia"/>
          <w:color w:val="auto"/>
          <w:sz w:val="24"/>
          <w:szCs w:val="24"/>
          <w:highlight w:val="none"/>
          <w:lang w:val="en-US" w:eastAsia="zh-CN"/>
        </w:rPr>
        <w:t>9</w:t>
      </w:r>
      <w:r>
        <w:rPr>
          <w:rFonts w:hint="eastAsia" w:asciiTheme="majorEastAsia" w:hAnsiTheme="majorEastAsia" w:eastAsiaTheme="majorEastAsia" w:cstheme="majorEastAsia"/>
          <w:color w:val="auto"/>
          <w:sz w:val="24"/>
          <w:szCs w:val="24"/>
          <w:highlight w:val="none"/>
        </w:rPr>
        <w:t>年1月1日以后出生）；中、高级职称年龄不超过60周岁（</w:t>
      </w:r>
      <w:r>
        <w:rPr>
          <w:rFonts w:hint="eastAsia" w:asciiTheme="majorEastAsia" w:hAnsiTheme="majorEastAsia" w:eastAsiaTheme="majorEastAsia" w:cstheme="majorEastAsia"/>
          <w:color w:val="auto"/>
          <w:sz w:val="24"/>
          <w:szCs w:val="24"/>
          <w:highlight w:val="none"/>
        </w:rPr>
        <w:t>196</w:t>
      </w:r>
      <w:r>
        <w:rPr>
          <w:rFonts w:hint="eastAsia" w:asciiTheme="majorEastAsia" w:hAnsiTheme="majorEastAsia" w:eastAsiaTheme="majorEastAsia" w:cstheme="majorEastAsia"/>
          <w:color w:val="auto"/>
          <w:sz w:val="24"/>
          <w:szCs w:val="24"/>
          <w:highlight w:val="none"/>
          <w:lang w:val="en-US" w:eastAsia="zh-CN"/>
        </w:rPr>
        <w:t>4</w:t>
      </w:r>
      <w:r>
        <w:rPr>
          <w:rFonts w:hint="eastAsia" w:asciiTheme="majorEastAsia" w:hAnsiTheme="majorEastAsia" w:eastAsiaTheme="majorEastAsia" w:cstheme="majorEastAsia"/>
          <w:color w:val="auto"/>
          <w:sz w:val="24"/>
          <w:szCs w:val="24"/>
          <w:highlight w:val="none"/>
        </w:rPr>
        <w:t>年1月1日以后出生）。</w:t>
      </w:r>
    </w:p>
    <w:p w14:paraId="70591DF7">
      <w:pPr>
        <w:spacing w:line="360" w:lineRule="auto"/>
        <w:rPr>
          <w:rFonts w:hint="eastAsia"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具有以下情形之一的，不得聘用：</w:t>
      </w:r>
    </w:p>
    <w:p w14:paraId="42ABFDCA">
      <w:pPr>
        <w:numPr>
          <w:ilvl w:val="0"/>
          <w:numId w:val="1"/>
        </w:numPr>
        <w:spacing w:line="360" w:lineRule="auto"/>
        <w:ind w:left="0" w:leftChars="0" w:firstLine="400" w:firstLineChars="0"/>
        <w:rPr>
          <w:rFonts w:hint="eastAsia"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曾因犯罪受过刑事处罚或曾被开除公职的；</w:t>
      </w:r>
    </w:p>
    <w:p w14:paraId="4BF2D735">
      <w:pPr>
        <w:numPr>
          <w:ilvl w:val="0"/>
          <w:numId w:val="1"/>
        </w:numPr>
        <w:spacing w:line="360" w:lineRule="auto"/>
        <w:ind w:left="0" w:leftChars="0" w:firstLine="400" w:firstLineChars="0"/>
        <w:rPr>
          <w:rFonts w:hint="eastAsia"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涉嫌犯罪、司法程序尚未终结的；</w:t>
      </w:r>
    </w:p>
    <w:p w14:paraId="0511C364">
      <w:pPr>
        <w:numPr>
          <w:ilvl w:val="0"/>
          <w:numId w:val="1"/>
        </w:numPr>
        <w:spacing w:line="360" w:lineRule="auto"/>
        <w:ind w:left="0" w:leftChars="0" w:firstLine="400" w:firstLineChars="0"/>
        <w:rPr>
          <w:rFonts w:hint="eastAsia"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有参加法轮功或其他邪教组织经历的；</w:t>
      </w:r>
    </w:p>
    <w:p w14:paraId="0DC7A5CE">
      <w:pPr>
        <w:numPr>
          <w:ilvl w:val="0"/>
          <w:numId w:val="1"/>
        </w:numPr>
        <w:spacing w:line="360" w:lineRule="auto"/>
        <w:ind w:left="0" w:leftChars="0" w:firstLine="400" w:firstLineChars="0"/>
        <w:rPr>
          <w:rFonts w:hint="eastAsia"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从事过危害国家安全活动的；</w:t>
      </w:r>
    </w:p>
    <w:p w14:paraId="4C1D0F19">
      <w:pPr>
        <w:numPr>
          <w:ilvl w:val="0"/>
          <w:numId w:val="1"/>
        </w:numPr>
        <w:spacing w:line="360" w:lineRule="auto"/>
        <w:ind w:left="0" w:leftChars="0" w:firstLine="400" w:firstLineChars="0"/>
        <w:rPr>
          <w:rFonts w:hint="eastAsia"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道德品质上有劣迹行为的；</w:t>
      </w:r>
    </w:p>
    <w:p w14:paraId="1A9626A6">
      <w:pPr>
        <w:numPr>
          <w:ilvl w:val="0"/>
          <w:numId w:val="1"/>
        </w:numPr>
        <w:spacing w:line="360" w:lineRule="auto"/>
        <w:ind w:left="0" w:leftChars="0" w:firstLine="400" w:firstLineChars="0"/>
        <w:rPr>
          <w:rFonts w:hint="eastAsia"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法律、法规规定的其他情形。</w:t>
      </w:r>
    </w:p>
    <w:p w14:paraId="4A77BC35">
      <w:pPr>
        <w:spacing w:line="360" w:lineRule="auto"/>
        <w:rPr>
          <w:rFonts w:hint="eastAsia"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2.岗位职责：</w:t>
      </w:r>
    </w:p>
    <w:p w14:paraId="35966352">
      <w:pPr>
        <w:spacing w:line="360" w:lineRule="auto"/>
        <w:rPr>
          <w:rFonts w:hint="eastAsia"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(1)当好学校领导的参谋，拟订学校卫生保健工作计划，在学校领导下，具体实施学校卫生保健工作计划，做好学校卫生保健技术指导工作。</w:t>
      </w:r>
    </w:p>
    <w:p w14:paraId="5F590481">
      <w:pPr>
        <w:spacing w:line="360" w:lineRule="auto"/>
        <w:rPr>
          <w:rFonts w:hint="eastAsia"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(2)按照国家传染病防治法律、法规要求，做好学校传染病的预防控制相关管理工作：</w:t>
      </w:r>
    </w:p>
    <w:p w14:paraId="0020411C">
      <w:pPr>
        <w:spacing w:line="360" w:lineRule="auto"/>
        <w:rPr>
          <w:rFonts w:hint="eastAsia"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①建立学校疫情报告制度，及时发现、报告传染病疫情。</w:t>
      </w:r>
    </w:p>
    <w:p w14:paraId="4449211F">
      <w:pPr>
        <w:spacing w:line="360" w:lineRule="auto"/>
        <w:rPr>
          <w:rFonts w:hint="eastAsia"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②严格执行就诊登记制度、晨检制度、因病缺课考勤制度和患传染病学生复课前检查制度。</w:t>
      </w:r>
    </w:p>
    <w:p w14:paraId="7EC1E028">
      <w:pPr>
        <w:spacing w:line="360" w:lineRule="auto"/>
        <w:rPr>
          <w:rFonts w:hint="eastAsia"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③加强对入学新生计划免疫证的查证工作，协助卫生部门把好儿童计划免疫接种关。</w:t>
      </w:r>
    </w:p>
    <w:p w14:paraId="632BCBF3">
      <w:pPr>
        <w:spacing w:line="360" w:lineRule="auto"/>
        <w:rPr>
          <w:rFonts w:hint="eastAsia"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3.加强学校突发公共卫生事件的预防与控制工作，完善工作预案，熟悉事件报告流程。一旦学校发生突发事件，能及时上报，并配合辖区疾病预防控制、卫生健康、卫生监督及市场监督管理（食品药品监督管理）等部门对事件进行调查和控制。</w:t>
      </w:r>
    </w:p>
    <w:p w14:paraId="3EF8D065">
      <w:pPr>
        <w:spacing w:line="360" w:lineRule="auto"/>
        <w:rPr>
          <w:rFonts w:hint="eastAsia"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4.开展视力不良、龋齿、肥胖、营养不良、贫血、脊柱弯曲、沙眼等学生常见病的群体预防和矫正工作。对体弱、残疾学生加强医学照顾、健康指导和心理卫生工作。</w:t>
      </w:r>
    </w:p>
    <w:p w14:paraId="406B42F4">
      <w:pPr>
        <w:spacing w:line="360" w:lineRule="auto"/>
        <w:rPr>
          <w:rFonts w:hint="eastAsia"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5.开展健康教育和健康咨询活动，加强青春期教育和青春期卫生指导，普及卫生保健知识，提高学生的卫生素质和自我保健功能，培养学生良好的卫生习惯。有计划地培训和建立一支卫生员或红十字青少年骨干队伍。</w:t>
      </w:r>
    </w:p>
    <w:p w14:paraId="77D4B3E6">
      <w:pPr>
        <w:spacing w:line="360" w:lineRule="auto"/>
        <w:rPr>
          <w:rFonts w:hint="eastAsia"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6.建立师生健康管理工作制度，积极配合相关部门完成师生体格检查工作。加强对学校卫生室(保健室)的医疗器械和药物管理，做好学生一般伤病事故的处理、转诊以及学校大型集会活动期间的卫生保健工作。</w:t>
      </w:r>
    </w:p>
    <w:p w14:paraId="65DF1BF4">
      <w:pPr>
        <w:spacing w:line="360" w:lineRule="auto"/>
        <w:rPr>
          <w:rFonts w:hint="eastAsia"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7.加强学校环境卫生、教学卫生、食品卫生、饮用水卫生、学生宿舍卫生、体育卫生和劳动卫生的管理和指导，配合辖区卫生监督、疾病预防控制及市场监督管理（食品药品监督管理）部门开展学校卫生监督监测工作。指导学校开展爱国卫生活动。</w:t>
      </w:r>
    </w:p>
    <w:p w14:paraId="06CD6984">
      <w:pPr>
        <w:spacing w:line="360" w:lineRule="auto"/>
        <w:rPr>
          <w:rFonts w:hint="eastAsia"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8.规范学校卫生资料的管理，及时收集、统计，反馈师生的健康信息，为学校卫生工作的决策提供参谋。</w:t>
      </w:r>
    </w:p>
    <w:p w14:paraId="3B41D163">
      <w:pPr>
        <w:spacing w:line="360" w:lineRule="auto"/>
        <w:rPr>
          <w:rFonts w:hint="eastAsia"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9.配合上级有关部门开展各种有关学生的专项调查和干预工作，完成学校领导交办的相关学校卫生工作。</w:t>
      </w:r>
    </w:p>
    <w:p w14:paraId="6705620E">
      <w:pPr>
        <w:spacing w:line="360" w:lineRule="auto"/>
        <w:rPr>
          <w:rFonts w:hint="eastAsia"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10.遵纪守法，遵守学校的各项规章制度，服从学校的管理，完成学校领导交给的其他学校卫生工作任务。</w:t>
      </w:r>
    </w:p>
    <w:p w14:paraId="78B6D7AE">
      <w:pPr>
        <w:spacing w:line="360" w:lineRule="auto"/>
        <w:rPr>
          <w:rFonts w:hint="eastAsia"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11.派驻校医要接受派出机构和购买服务学校的双重管理。派驻校医在业务上接受派出单位的指导，履行并遵守选派单位明确的工作职责和规章制度。派驻校医在校工作期间，要服从学校的管理。</w:t>
      </w:r>
    </w:p>
    <w:p w14:paraId="7F24BA7F">
      <w:pPr>
        <w:spacing w:line="360" w:lineRule="auto"/>
        <w:rPr>
          <w:rFonts w:hint="eastAsia"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b/>
          <w:color w:val="auto"/>
          <w:sz w:val="24"/>
          <w:szCs w:val="24"/>
          <w:highlight w:val="none"/>
        </w:rPr>
        <w:t>三、服务要求</w:t>
      </w:r>
    </w:p>
    <w:p w14:paraId="60125E58">
      <w:pPr>
        <w:spacing w:line="360" w:lineRule="auto"/>
        <w:rPr>
          <w:rFonts w:hint="eastAsia"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1.中标人按照采购人提出的标准负责培训、管理并监督服务人员，并按照《劳动法》和《劳动合同法》等有关规定和合同的约定承担用工责任。</w:t>
      </w:r>
    </w:p>
    <w:p w14:paraId="13D8E92B">
      <w:pPr>
        <w:spacing w:line="360" w:lineRule="auto"/>
        <w:rPr>
          <w:rFonts w:hint="eastAsia"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2.委派专职管理团队负责本项目的全面管理工作，本团队需配备人力资源管理师，建立完善的员工培训、管理、监督体系及薪酬激励体制，确保本项目服务岗位能高质高效地完成工作任务。</w:t>
      </w:r>
    </w:p>
    <w:p w14:paraId="35A6D620">
      <w:pPr>
        <w:spacing w:line="360" w:lineRule="auto"/>
        <w:rPr>
          <w:rFonts w:hint="eastAsia"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3.中标人按有关规定和要求，派出学历、职称合适、身体健康、有一定组织能力、热爱学生、工作责任感强的卫生专业技术人员到学校担任学校卫生保健工作，并服从和执行采购人作出的工作安排和调度。</w:t>
      </w:r>
    </w:p>
    <w:p w14:paraId="58BA2876">
      <w:pPr>
        <w:spacing w:line="360" w:lineRule="auto"/>
        <w:rPr>
          <w:rFonts w:hint="eastAsia"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4.中标人应当执行国家有关工资、福利待遇等规定，按照国家、省市的有关政策，办理养老保险、失业保险、工伤保险、基本医疗保险、生育保险，保障他们的合法权益。</w:t>
      </w:r>
    </w:p>
    <w:p w14:paraId="18A23569">
      <w:pPr>
        <w:spacing w:line="360" w:lineRule="auto"/>
        <w:rPr>
          <w:rFonts w:hint="eastAsia"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5.中标人应与在采购人工作的服务人员建立规范的劳动合同关系；中标人负责管理服务人员所有的人事（包括服务人员的劳动合同签订、终止或解除，服务人员的调动手续）、保险（社会保险的办理、转移）、档案管理、计划生育等事宜，并建立服务人员人事信息档案，向采购人提供服务人员花名册，该名册应详细载明各服务人员的性别、出生日期、籍贯、家庭住所、身份证号码、学历、学位、婚姻状况等自然情况和劳动合同或劳动关系档案编号。服务人员的工资由中标人发放。</w:t>
      </w:r>
    </w:p>
    <w:p w14:paraId="6DCABBBE">
      <w:pPr>
        <w:spacing w:line="360" w:lineRule="auto"/>
        <w:rPr>
          <w:rFonts w:hint="eastAsia"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6.采购人有权确定服务人员招聘的数量、名单，且有权以书面形式向中标人提出服务的具体要求，以及人员的素质要求。</w:t>
      </w:r>
    </w:p>
    <w:p w14:paraId="7A3E4B52">
      <w:pPr>
        <w:spacing w:line="360" w:lineRule="auto"/>
        <w:rPr>
          <w:rFonts w:hint="eastAsia"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7.中标人不得让未取得执业资格的人员在学校从事诊疗技术规范规定的医疗活动。</w:t>
      </w:r>
    </w:p>
    <w:p w14:paraId="29A57B95">
      <w:pPr>
        <w:spacing w:line="360" w:lineRule="auto"/>
        <w:rPr>
          <w:rFonts w:hint="eastAsia"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8.中标人对派驻学校的校医进行相关培训，联合学校定期对派驻校医进行考核并保存好其相关档案资料。</w:t>
      </w:r>
    </w:p>
    <w:p w14:paraId="139D22B3">
      <w:pPr>
        <w:spacing w:line="360" w:lineRule="auto"/>
        <w:rPr>
          <w:rFonts w:hint="eastAsia"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9.密切与学校联系，及时了解派驻校医的工作情况，对派驻校医实行双重管理。派驻校医在业务上接受派出单位的指导，履行并遵守选派单位明确的工作职责和规章制度；派驻期满后，其工作情况由学校书面告知派出单位，作为职称评聘、年度考核等工作的重要依据。</w:t>
      </w:r>
    </w:p>
    <w:p w14:paraId="232F3722">
      <w:pPr>
        <w:spacing w:line="360" w:lineRule="auto"/>
        <w:rPr>
          <w:rFonts w:hint="eastAsia"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10.派驻校医实行轮流选派，选派期限由医疗机构与选派学校确定，原则上每次选派不少于一年（学年），保证工作不脱节。</w:t>
      </w:r>
    </w:p>
    <w:p w14:paraId="0931A54A">
      <w:pPr>
        <w:spacing w:line="360" w:lineRule="auto"/>
        <w:rPr>
          <w:rFonts w:hint="eastAsia"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11.中标人负责解决派驻到采购人工作的服务人员的一切劳动纠纷。</w:t>
      </w:r>
    </w:p>
    <w:p w14:paraId="5C98ABAF">
      <w:pPr>
        <w:spacing w:line="360" w:lineRule="auto"/>
        <w:rPr>
          <w:rFonts w:hint="eastAsia"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12.中标人要积极做好沟通、对接及签订服务协议等工作，确保派驻人员在签订合同后及时到位上班。</w:t>
      </w:r>
    </w:p>
    <w:p w14:paraId="62D0B5F7">
      <w:pPr>
        <w:spacing w:line="360" w:lineRule="auto"/>
        <w:rPr>
          <w:rFonts w:hint="eastAsia"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lang w:val="en-US" w:eastAsia="zh-CN"/>
        </w:rPr>
        <w:t>1</w:t>
      </w:r>
      <w:r>
        <w:rPr>
          <w:rFonts w:hint="eastAsia" w:asciiTheme="majorEastAsia" w:hAnsiTheme="majorEastAsia" w:eastAsiaTheme="majorEastAsia" w:cstheme="majorEastAsia"/>
          <w:color w:val="auto"/>
          <w:sz w:val="24"/>
          <w:szCs w:val="24"/>
          <w:highlight w:val="none"/>
        </w:rPr>
        <w:t>3.若经</w:t>
      </w:r>
      <w:r>
        <w:rPr>
          <w:rFonts w:hint="eastAsia" w:asciiTheme="majorEastAsia" w:hAnsiTheme="majorEastAsia" w:eastAsiaTheme="majorEastAsia" w:cstheme="majorEastAsia"/>
          <w:color w:val="auto"/>
          <w:sz w:val="24"/>
          <w:szCs w:val="24"/>
          <w:highlight w:val="none"/>
          <w:lang w:val="en-US" w:eastAsia="zh-CN"/>
        </w:rPr>
        <w:t>采购人</w:t>
      </w:r>
      <w:r>
        <w:rPr>
          <w:rFonts w:hint="eastAsia" w:asciiTheme="majorEastAsia" w:hAnsiTheme="majorEastAsia" w:eastAsiaTheme="majorEastAsia" w:cstheme="majorEastAsia"/>
          <w:color w:val="auto"/>
          <w:sz w:val="24"/>
          <w:szCs w:val="24"/>
          <w:highlight w:val="none"/>
        </w:rPr>
        <w:t>或学校认定</w:t>
      </w:r>
      <w:r>
        <w:rPr>
          <w:rFonts w:hint="eastAsia" w:asciiTheme="majorEastAsia" w:hAnsiTheme="majorEastAsia" w:eastAsiaTheme="majorEastAsia" w:cstheme="majorEastAsia"/>
          <w:color w:val="auto"/>
          <w:sz w:val="24"/>
          <w:szCs w:val="24"/>
          <w:highlight w:val="none"/>
          <w:lang w:val="en-US" w:eastAsia="zh-CN"/>
        </w:rPr>
        <w:t>中标人</w:t>
      </w:r>
      <w:r>
        <w:rPr>
          <w:rFonts w:hint="eastAsia" w:asciiTheme="majorEastAsia" w:hAnsiTheme="majorEastAsia" w:eastAsiaTheme="majorEastAsia" w:cstheme="majorEastAsia"/>
          <w:color w:val="auto"/>
          <w:sz w:val="24"/>
          <w:szCs w:val="24"/>
          <w:highlight w:val="none"/>
        </w:rPr>
        <w:t>服务人员存在违法、违反学校规章制度、无法胜任工作或其他可能给</w:t>
      </w:r>
      <w:r>
        <w:rPr>
          <w:rFonts w:hint="eastAsia" w:asciiTheme="majorEastAsia" w:hAnsiTheme="majorEastAsia" w:eastAsiaTheme="majorEastAsia" w:cstheme="majorEastAsia"/>
          <w:color w:val="auto"/>
          <w:sz w:val="24"/>
          <w:szCs w:val="24"/>
          <w:highlight w:val="none"/>
          <w:lang w:val="en-US" w:eastAsia="zh-CN"/>
        </w:rPr>
        <w:t>采购人</w:t>
      </w:r>
      <w:r>
        <w:rPr>
          <w:rFonts w:hint="eastAsia" w:asciiTheme="majorEastAsia" w:hAnsiTheme="majorEastAsia" w:eastAsiaTheme="majorEastAsia" w:cstheme="majorEastAsia"/>
          <w:color w:val="auto"/>
          <w:sz w:val="24"/>
          <w:szCs w:val="24"/>
          <w:highlight w:val="none"/>
        </w:rPr>
        <w:t>或学校声誉带来不良影响的行为，</w:t>
      </w:r>
      <w:r>
        <w:rPr>
          <w:rFonts w:hint="eastAsia" w:asciiTheme="majorEastAsia" w:hAnsiTheme="majorEastAsia" w:eastAsiaTheme="majorEastAsia" w:cstheme="majorEastAsia"/>
          <w:color w:val="auto"/>
          <w:sz w:val="24"/>
          <w:szCs w:val="24"/>
          <w:highlight w:val="none"/>
          <w:lang w:val="en-US" w:eastAsia="zh-CN"/>
        </w:rPr>
        <w:t>采购人</w:t>
      </w:r>
      <w:r>
        <w:rPr>
          <w:rFonts w:hint="eastAsia" w:asciiTheme="majorEastAsia" w:hAnsiTheme="majorEastAsia" w:eastAsiaTheme="majorEastAsia" w:cstheme="majorEastAsia"/>
          <w:color w:val="auto"/>
          <w:sz w:val="24"/>
          <w:szCs w:val="24"/>
          <w:highlight w:val="none"/>
        </w:rPr>
        <w:t>经提供书面证据给</w:t>
      </w:r>
      <w:r>
        <w:rPr>
          <w:rFonts w:hint="eastAsia" w:asciiTheme="majorEastAsia" w:hAnsiTheme="majorEastAsia" w:eastAsiaTheme="majorEastAsia" w:cstheme="majorEastAsia"/>
          <w:color w:val="auto"/>
          <w:sz w:val="24"/>
          <w:szCs w:val="24"/>
          <w:highlight w:val="none"/>
          <w:lang w:val="en-US" w:eastAsia="zh-CN"/>
        </w:rPr>
        <w:t>中标人</w:t>
      </w:r>
      <w:r>
        <w:rPr>
          <w:rFonts w:hint="eastAsia" w:asciiTheme="majorEastAsia" w:hAnsiTheme="majorEastAsia" w:eastAsiaTheme="majorEastAsia" w:cstheme="majorEastAsia"/>
          <w:color w:val="auto"/>
          <w:sz w:val="24"/>
          <w:szCs w:val="24"/>
          <w:highlight w:val="none"/>
        </w:rPr>
        <w:t>后可向</w:t>
      </w:r>
      <w:r>
        <w:rPr>
          <w:rFonts w:hint="eastAsia" w:asciiTheme="majorEastAsia" w:hAnsiTheme="majorEastAsia" w:eastAsiaTheme="majorEastAsia" w:cstheme="majorEastAsia"/>
          <w:color w:val="auto"/>
          <w:sz w:val="24"/>
          <w:szCs w:val="24"/>
          <w:highlight w:val="none"/>
          <w:lang w:val="en-US" w:eastAsia="zh-CN"/>
        </w:rPr>
        <w:t>中标人</w:t>
      </w:r>
      <w:r>
        <w:rPr>
          <w:rFonts w:hint="eastAsia" w:asciiTheme="majorEastAsia" w:hAnsiTheme="majorEastAsia" w:eastAsiaTheme="majorEastAsia" w:cstheme="majorEastAsia"/>
          <w:color w:val="auto"/>
          <w:sz w:val="24"/>
          <w:szCs w:val="24"/>
          <w:highlight w:val="none"/>
        </w:rPr>
        <w:t>要求退回该服务人员,</w:t>
      </w:r>
      <w:r>
        <w:rPr>
          <w:rFonts w:hint="eastAsia" w:asciiTheme="majorEastAsia" w:hAnsiTheme="majorEastAsia" w:eastAsiaTheme="majorEastAsia" w:cstheme="majorEastAsia"/>
          <w:color w:val="auto"/>
          <w:sz w:val="24"/>
          <w:szCs w:val="24"/>
          <w:highlight w:val="none"/>
          <w:lang w:val="en-US" w:eastAsia="zh-CN"/>
        </w:rPr>
        <w:t>中标人</w:t>
      </w:r>
      <w:r>
        <w:rPr>
          <w:rFonts w:hint="eastAsia" w:asciiTheme="majorEastAsia" w:hAnsiTheme="majorEastAsia" w:eastAsiaTheme="majorEastAsia" w:cstheme="majorEastAsia"/>
          <w:color w:val="auto"/>
          <w:sz w:val="24"/>
          <w:szCs w:val="24"/>
          <w:highlight w:val="none"/>
        </w:rPr>
        <w:t>收到通知后应予配合并妥善处置该人员，由此导致的</w:t>
      </w:r>
      <w:r>
        <w:rPr>
          <w:rFonts w:hint="eastAsia" w:asciiTheme="majorEastAsia" w:hAnsiTheme="majorEastAsia" w:eastAsiaTheme="majorEastAsia" w:cstheme="majorEastAsia"/>
          <w:color w:val="auto"/>
          <w:sz w:val="24"/>
          <w:szCs w:val="24"/>
          <w:highlight w:val="none"/>
          <w:lang w:val="en-US" w:eastAsia="zh-CN"/>
        </w:rPr>
        <w:t>中标人</w:t>
      </w:r>
      <w:r>
        <w:rPr>
          <w:rFonts w:hint="eastAsia" w:asciiTheme="majorEastAsia" w:hAnsiTheme="majorEastAsia" w:eastAsiaTheme="majorEastAsia" w:cstheme="majorEastAsia"/>
          <w:color w:val="auto"/>
          <w:sz w:val="24"/>
          <w:szCs w:val="24"/>
          <w:highlight w:val="none"/>
        </w:rPr>
        <w:t>支付任何经济补偿金或赔偿金等费用的，均由</w:t>
      </w:r>
      <w:r>
        <w:rPr>
          <w:rFonts w:hint="eastAsia" w:asciiTheme="majorEastAsia" w:hAnsiTheme="majorEastAsia" w:eastAsiaTheme="majorEastAsia" w:cstheme="majorEastAsia"/>
          <w:color w:val="auto"/>
          <w:sz w:val="24"/>
          <w:szCs w:val="24"/>
          <w:highlight w:val="none"/>
          <w:lang w:val="en-US" w:eastAsia="zh-CN"/>
        </w:rPr>
        <w:t>中标人</w:t>
      </w:r>
      <w:r>
        <w:rPr>
          <w:rFonts w:hint="eastAsia" w:asciiTheme="majorEastAsia" w:hAnsiTheme="majorEastAsia" w:eastAsiaTheme="majorEastAsia" w:cstheme="majorEastAsia"/>
          <w:color w:val="auto"/>
          <w:sz w:val="24"/>
          <w:szCs w:val="24"/>
          <w:highlight w:val="none"/>
        </w:rPr>
        <w:t>自行承担。</w:t>
      </w:r>
    </w:p>
    <w:p w14:paraId="03082377">
      <w:pPr>
        <w:spacing w:line="360" w:lineRule="auto"/>
        <w:rPr>
          <w:rFonts w:hint="eastAsia"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14.</w:t>
      </w:r>
      <w:r>
        <w:rPr>
          <w:rFonts w:hint="eastAsia" w:asciiTheme="majorEastAsia" w:hAnsiTheme="majorEastAsia" w:eastAsiaTheme="majorEastAsia" w:cstheme="majorEastAsia"/>
          <w:color w:val="auto"/>
          <w:sz w:val="24"/>
          <w:szCs w:val="24"/>
          <w:highlight w:val="none"/>
          <w:lang w:val="en-US" w:eastAsia="zh-CN"/>
        </w:rPr>
        <w:t>中标人</w:t>
      </w:r>
      <w:r>
        <w:rPr>
          <w:rFonts w:hint="eastAsia" w:asciiTheme="majorEastAsia" w:hAnsiTheme="majorEastAsia" w:eastAsiaTheme="majorEastAsia" w:cstheme="majorEastAsia"/>
          <w:color w:val="auto"/>
          <w:sz w:val="24"/>
          <w:szCs w:val="24"/>
          <w:highlight w:val="none"/>
        </w:rPr>
        <w:t>应保证</w:t>
      </w:r>
      <w:r>
        <w:rPr>
          <w:rFonts w:hint="eastAsia" w:asciiTheme="majorEastAsia" w:hAnsiTheme="majorEastAsia" w:eastAsiaTheme="majorEastAsia" w:cstheme="majorEastAsia"/>
          <w:color w:val="auto"/>
          <w:sz w:val="24"/>
          <w:szCs w:val="24"/>
          <w:highlight w:val="none"/>
          <w:lang w:val="en-US" w:eastAsia="zh-CN"/>
        </w:rPr>
        <w:t>中标人</w:t>
      </w:r>
      <w:r>
        <w:rPr>
          <w:rFonts w:hint="eastAsia" w:asciiTheme="majorEastAsia" w:hAnsiTheme="majorEastAsia" w:eastAsiaTheme="majorEastAsia" w:cstheme="majorEastAsia"/>
          <w:color w:val="auto"/>
          <w:sz w:val="24"/>
          <w:szCs w:val="24"/>
          <w:highlight w:val="none"/>
        </w:rPr>
        <w:t>服务人员在学校工作过程中人员的稳定性，要求服务人员不可随意离职。若</w:t>
      </w:r>
      <w:r>
        <w:rPr>
          <w:rFonts w:hint="eastAsia" w:asciiTheme="majorEastAsia" w:hAnsiTheme="majorEastAsia" w:eastAsiaTheme="majorEastAsia" w:cstheme="majorEastAsia"/>
          <w:color w:val="auto"/>
          <w:sz w:val="24"/>
          <w:szCs w:val="24"/>
          <w:highlight w:val="none"/>
          <w:lang w:val="en-US" w:eastAsia="zh-CN"/>
        </w:rPr>
        <w:t>中标人</w:t>
      </w:r>
      <w:r>
        <w:rPr>
          <w:rFonts w:hint="eastAsia" w:asciiTheme="majorEastAsia" w:hAnsiTheme="majorEastAsia" w:eastAsiaTheme="majorEastAsia" w:cstheme="majorEastAsia"/>
          <w:color w:val="auto"/>
          <w:sz w:val="24"/>
          <w:szCs w:val="24"/>
          <w:highlight w:val="none"/>
        </w:rPr>
        <w:t>接到服务人员离职申请的，</w:t>
      </w:r>
      <w:r>
        <w:rPr>
          <w:rFonts w:hint="eastAsia" w:asciiTheme="majorEastAsia" w:hAnsiTheme="majorEastAsia" w:eastAsiaTheme="majorEastAsia" w:cstheme="majorEastAsia"/>
          <w:color w:val="auto"/>
          <w:sz w:val="24"/>
          <w:szCs w:val="24"/>
          <w:highlight w:val="none"/>
          <w:lang w:val="en-US" w:eastAsia="zh-CN"/>
        </w:rPr>
        <w:t>中标人</w:t>
      </w:r>
      <w:r>
        <w:rPr>
          <w:rFonts w:hint="eastAsia" w:asciiTheme="majorEastAsia" w:hAnsiTheme="majorEastAsia" w:eastAsiaTheme="majorEastAsia" w:cstheme="majorEastAsia"/>
          <w:color w:val="auto"/>
          <w:sz w:val="24"/>
          <w:szCs w:val="24"/>
          <w:highlight w:val="none"/>
        </w:rPr>
        <w:t>应立即告知服务人员所在学校及</w:t>
      </w:r>
      <w:r>
        <w:rPr>
          <w:rFonts w:hint="eastAsia" w:asciiTheme="majorEastAsia" w:hAnsiTheme="majorEastAsia" w:eastAsiaTheme="majorEastAsia" w:cstheme="majorEastAsia"/>
          <w:color w:val="auto"/>
          <w:sz w:val="24"/>
          <w:szCs w:val="24"/>
          <w:highlight w:val="none"/>
          <w:lang w:val="en-US" w:eastAsia="zh-CN"/>
        </w:rPr>
        <w:t>采购人</w:t>
      </w:r>
      <w:r>
        <w:rPr>
          <w:rFonts w:hint="eastAsia" w:asciiTheme="majorEastAsia" w:hAnsiTheme="majorEastAsia" w:eastAsiaTheme="majorEastAsia" w:cstheme="majorEastAsia"/>
          <w:color w:val="auto"/>
          <w:sz w:val="24"/>
          <w:szCs w:val="24"/>
          <w:highlight w:val="none"/>
        </w:rPr>
        <w:t>，并由</w:t>
      </w:r>
      <w:r>
        <w:rPr>
          <w:rFonts w:hint="eastAsia" w:asciiTheme="majorEastAsia" w:hAnsiTheme="majorEastAsia" w:eastAsiaTheme="majorEastAsia" w:cstheme="majorEastAsia"/>
          <w:color w:val="auto"/>
          <w:sz w:val="24"/>
          <w:szCs w:val="24"/>
          <w:highlight w:val="none"/>
          <w:lang w:val="en-US" w:eastAsia="zh-CN"/>
        </w:rPr>
        <w:t>中标人</w:t>
      </w:r>
      <w:r>
        <w:rPr>
          <w:rFonts w:hint="eastAsia" w:asciiTheme="majorEastAsia" w:hAnsiTheme="majorEastAsia" w:eastAsiaTheme="majorEastAsia" w:cstheme="majorEastAsia"/>
          <w:color w:val="auto"/>
          <w:sz w:val="24"/>
          <w:szCs w:val="24"/>
          <w:highlight w:val="none"/>
        </w:rPr>
        <w:t>安排接替人员。</w:t>
      </w:r>
    </w:p>
    <w:p w14:paraId="4B6DCA03">
      <w:pPr>
        <w:spacing w:line="360" w:lineRule="auto"/>
        <w:rPr>
          <w:rFonts w:hint="eastAsia"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b/>
          <w:color w:val="auto"/>
          <w:sz w:val="24"/>
          <w:szCs w:val="24"/>
          <w:highlight w:val="none"/>
        </w:rPr>
        <w:t>四、服务费用构成</w:t>
      </w:r>
    </w:p>
    <w:p w14:paraId="10391490">
      <w:pPr>
        <w:spacing w:line="360" w:lineRule="auto"/>
        <w:rPr>
          <w:rFonts w:hint="eastAsia"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1.服务人员管理服务费（人才管理费）。</w:t>
      </w:r>
    </w:p>
    <w:p w14:paraId="035AB8B8">
      <w:pPr>
        <w:spacing w:line="360" w:lineRule="auto"/>
        <w:rPr>
          <w:rFonts w:hint="eastAsia"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2.服务人员用工成本。包括服务人员的工资、社会保险、住房公积金费用、个人所得税、商业保险费用、补贴与福利。服务人员的工资不得低于广州市最低工资标准。中标人应确保单个服务人员的税前工资以及住房公积金的单位部分、社会保险的单位部分以及税前补贴与福利合计不低于单人经费的85%。</w:t>
      </w:r>
    </w:p>
    <w:p w14:paraId="240C4EC5">
      <w:pPr>
        <w:spacing w:line="360" w:lineRule="auto"/>
        <w:rPr>
          <w:rFonts w:hint="eastAsia"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3.服务人员的社会保险。中标人必须为其购买社会保险，如中标人违反，须负相应的法律责任。</w:t>
      </w:r>
    </w:p>
    <w:p w14:paraId="1C029748">
      <w:pPr>
        <w:spacing w:line="360" w:lineRule="auto"/>
        <w:rPr>
          <w:rFonts w:hint="eastAsia"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4.中标人工作开展管理成本，包括招聘费（含招聘广告费、试题出题及改卷费、劳务费、安保费、餐费等）、培训费。</w:t>
      </w:r>
    </w:p>
    <w:p w14:paraId="06D1A87C">
      <w:pPr>
        <w:spacing w:line="360" w:lineRule="auto"/>
        <w:rPr>
          <w:rFonts w:hint="eastAsia"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5.服务人员在病重或因工致伤、残、死亡时发生的全部费用。</w:t>
      </w:r>
    </w:p>
    <w:p w14:paraId="5158AC20">
      <w:pPr>
        <w:spacing w:line="360" w:lineRule="auto"/>
        <w:rPr>
          <w:rFonts w:hint="eastAsia"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6.女性服务人员专项备用金。该项备用金不应低于单人经费的8%，用于支付本项目女性服务人员因法定的怀孕期、产假、哺乳期所发生的全部费用。在使用该项备用金前，应首先通过生育保险支付，不足部分再使用备用金予以支付。</w:t>
      </w:r>
    </w:p>
    <w:p w14:paraId="5233CBE0">
      <w:pPr>
        <w:spacing w:line="360" w:lineRule="auto"/>
        <w:rPr>
          <w:rFonts w:hint="eastAsia"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7.中国政府根据现行税法规定对中标人或其雇员征收的与本项目有关的一切税费均应由中标人负担。</w:t>
      </w:r>
    </w:p>
    <w:p w14:paraId="071A177C">
      <w:pPr>
        <w:spacing w:line="360" w:lineRule="auto"/>
        <w:rPr>
          <w:rFonts w:hint="eastAsia"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8.★中标人应按照《中华人民共和国劳动法》的相关规定发放工资，服务人员工资不得低于广州市企业职工最低工资标准（工资不含按国家规定中标人必须支付的社会保险及其他应付费用）。</w:t>
      </w:r>
    </w:p>
    <w:p w14:paraId="2B51CC33">
      <w:pPr>
        <w:spacing w:line="360" w:lineRule="auto"/>
        <w:rPr>
          <w:rFonts w:hint="eastAsia"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9.★中标人应按照《中华人民共和国社会保险法》和《住房公积金管理条例》的相关规定，支付国家规定必须购买的社会保险费用。</w:t>
      </w:r>
    </w:p>
    <w:p w14:paraId="40324B36">
      <w:pPr>
        <w:spacing w:line="360" w:lineRule="auto"/>
        <w:rPr>
          <w:rFonts w:hint="eastAsia"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 xml:space="preserve">  备注：以上第2、3、6条涉及的工资、福利待遇等费用由中标人决定，但不低于国家规定标准。中标人应提供当月全额费用的发票并承担相应的税费。</w:t>
      </w:r>
    </w:p>
    <w:p w14:paraId="51E8CA37">
      <w:pPr>
        <w:spacing w:line="360" w:lineRule="auto"/>
        <w:rPr>
          <w:rFonts w:hint="eastAsia"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b/>
          <w:color w:val="auto"/>
          <w:sz w:val="24"/>
          <w:szCs w:val="24"/>
          <w:highlight w:val="none"/>
        </w:rPr>
        <w:t>五、服务地点</w:t>
      </w:r>
    </w:p>
    <w:p w14:paraId="33EDCC95">
      <w:pPr>
        <w:spacing w:line="360" w:lineRule="auto"/>
        <w:ind w:firstLine="480"/>
        <w:rPr>
          <w:rFonts w:hint="eastAsia"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广州市白云区教育系统各公办中小学。</w:t>
      </w:r>
    </w:p>
    <w:p w14:paraId="4B9ABF4C">
      <w:pPr>
        <w:spacing w:line="360" w:lineRule="auto"/>
        <w:rPr>
          <w:rFonts w:hint="eastAsia"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b/>
          <w:color w:val="auto"/>
          <w:sz w:val="24"/>
          <w:szCs w:val="24"/>
          <w:highlight w:val="none"/>
        </w:rPr>
        <w:t>六、服务期限及合同签订</w:t>
      </w:r>
    </w:p>
    <w:p w14:paraId="067AE1A9">
      <w:pPr>
        <w:spacing w:line="360" w:lineRule="auto"/>
        <w:rPr>
          <w:rFonts w:hint="eastAsia"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1.服务期限：自合同签订之日起一年。</w:t>
      </w:r>
    </w:p>
    <w:p w14:paraId="7B9A52FF">
      <w:pPr>
        <w:numPr>
          <w:ilvl w:val="0"/>
          <w:numId w:val="0"/>
        </w:numPr>
        <w:adjustRightInd w:val="0"/>
        <w:snapToGrid w:val="0"/>
        <w:spacing w:line="360" w:lineRule="auto"/>
        <w:ind w:leftChars="0"/>
        <w:jc w:val="left"/>
        <w:outlineLvl w:val="0"/>
        <w:rPr>
          <w:rFonts w:hint="eastAsia" w:asciiTheme="majorEastAsia" w:hAnsiTheme="majorEastAsia" w:eastAsiaTheme="majorEastAsia" w:cstheme="majorEastAsia"/>
          <w:b/>
          <w:color w:val="auto"/>
          <w:sz w:val="24"/>
          <w:szCs w:val="24"/>
          <w:highlight w:val="none"/>
          <w:lang w:val="en-US"/>
        </w:rPr>
      </w:pPr>
      <w:r>
        <w:rPr>
          <w:rFonts w:hint="eastAsia" w:asciiTheme="majorEastAsia" w:hAnsiTheme="majorEastAsia" w:eastAsiaTheme="majorEastAsia" w:cstheme="majorEastAsia"/>
          <w:color w:val="auto"/>
          <w:sz w:val="24"/>
          <w:szCs w:val="24"/>
          <w:highlight w:val="none"/>
        </w:rPr>
        <w:t>2.中标人须预缴1个月服务人员的工资和社会保险费作为保障金进入采购人指定的银行账户或提供相同额度的不可撤销的、见索即付的银行保函，以保障采购人权益。前述保函须采购人同意。如中标人欠发人员工资</w:t>
      </w:r>
      <w:r>
        <w:rPr>
          <w:rFonts w:hint="eastAsia" w:asciiTheme="majorEastAsia" w:hAnsiTheme="majorEastAsia" w:eastAsiaTheme="majorEastAsia" w:cstheme="majorEastAsia"/>
          <w:color w:val="auto"/>
          <w:sz w:val="24"/>
          <w:szCs w:val="24"/>
          <w:highlight w:val="none"/>
          <w:lang w:val="en-US" w:eastAsia="zh-CN"/>
        </w:rPr>
        <w:t>或</w:t>
      </w:r>
      <w:r>
        <w:rPr>
          <w:rFonts w:hint="eastAsia" w:asciiTheme="majorEastAsia" w:hAnsiTheme="majorEastAsia" w:eastAsiaTheme="majorEastAsia" w:cstheme="majorEastAsia"/>
          <w:color w:val="auto"/>
          <w:sz w:val="24"/>
          <w:szCs w:val="24"/>
          <w:highlight w:val="none"/>
        </w:rPr>
        <w:t>欠缴社会保险费</w:t>
      </w:r>
      <w:r>
        <w:rPr>
          <w:rFonts w:hint="eastAsia" w:asciiTheme="majorEastAsia" w:hAnsiTheme="majorEastAsia" w:eastAsiaTheme="majorEastAsia" w:cstheme="majorEastAsia"/>
          <w:color w:val="auto"/>
          <w:sz w:val="24"/>
          <w:szCs w:val="24"/>
          <w:highlight w:val="none"/>
          <w:lang w:val="en-US"/>
        </w:rPr>
        <w:t>等</w:t>
      </w:r>
      <w:r>
        <w:rPr>
          <w:rFonts w:hint="eastAsia" w:asciiTheme="majorEastAsia" w:hAnsiTheme="majorEastAsia" w:eastAsiaTheme="majorEastAsia" w:cstheme="majorEastAsia"/>
          <w:color w:val="auto"/>
          <w:sz w:val="24"/>
          <w:szCs w:val="24"/>
          <w:highlight w:val="none"/>
          <w:lang w:val="en-US" w:eastAsia="zh-CN"/>
        </w:rPr>
        <w:t>超</w:t>
      </w:r>
      <w:r>
        <w:rPr>
          <w:rFonts w:hint="eastAsia" w:asciiTheme="majorEastAsia" w:hAnsiTheme="majorEastAsia" w:eastAsiaTheme="majorEastAsia" w:cstheme="majorEastAsia"/>
          <w:color w:val="auto"/>
          <w:sz w:val="24"/>
          <w:szCs w:val="24"/>
          <w:highlight w:val="none"/>
        </w:rPr>
        <w:t>1个月，采购人有权优先从上述保证中扣除违约金并单方解除合同。</w:t>
      </w:r>
    </w:p>
    <w:p w14:paraId="7B4BEB34">
      <w:pPr>
        <w:numPr>
          <w:ilvl w:val="0"/>
          <w:numId w:val="0"/>
        </w:numPr>
        <w:adjustRightInd w:val="0"/>
        <w:snapToGrid w:val="0"/>
        <w:spacing w:line="360" w:lineRule="auto"/>
        <w:ind w:leftChars="0"/>
        <w:jc w:val="left"/>
        <w:outlineLvl w:val="0"/>
        <w:rPr>
          <w:rFonts w:hint="eastAsia" w:asciiTheme="majorEastAsia" w:hAnsiTheme="majorEastAsia" w:eastAsiaTheme="majorEastAsia" w:cstheme="majorEastAsia"/>
          <w:b/>
          <w:color w:val="auto"/>
          <w:sz w:val="24"/>
          <w:szCs w:val="24"/>
          <w:highlight w:val="none"/>
          <w:lang w:val="en-US"/>
        </w:rPr>
      </w:pPr>
      <w:r>
        <w:rPr>
          <w:rFonts w:hint="eastAsia" w:asciiTheme="majorEastAsia" w:hAnsiTheme="majorEastAsia" w:eastAsiaTheme="majorEastAsia" w:cstheme="majorEastAsia"/>
          <w:b/>
          <w:color w:val="auto"/>
          <w:sz w:val="24"/>
          <w:szCs w:val="24"/>
          <w:highlight w:val="none"/>
          <w:lang w:val="en-US" w:eastAsia="zh-CN"/>
        </w:rPr>
        <w:t>七、其他工作</w:t>
      </w:r>
      <w:r>
        <w:rPr>
          <w:rFonts w:hint="eastAsia" w:asciiTheme="majorEastAsia" w:hAnsiTheme="majorEastAsia" w:eastAsiaTheme="majorEastAsia" w:cstheme="majorEastAsia"/>
          <w:b/>
          <w:color w:val="auto"/>
          <w:sz w:val="24"/>
          <w:szCs w:val="24"/>
          <w:highlight w:val="none"/>
          <w:lang w:val="en-US"/>
        </w:rPr>
        <w:t>要求</w:t>
      </w:r>
    </w:p>
    <w:p w14:paraId="5C67200C">
      <w:pPr>
        <w:pStyle w:val="14"/>
        <w:numPr>
          <w:ilvl w:val="0"/>
          <w:numId w:val="2"/>
        </w:numPr>
        <w:spacing w:line="360" w:lineRule="auto"/>
        <w:ind w:firstLine="480"/>
        <w:jc w:val="left"/>
        <w:rPr>
          <w:rFonts w:hint="eastAsia"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因项目重要，投标人应</w:t>
      </w:r>
      <w:r>
        <w:rPr>
          <w:rFonts w:hint="eastAsia" w:asciiTheme="majorEastAsia" w:hAnsiTheme="majorEastAsia" w:eastAsiaTheme="majorEastAsia" w:cstheme="majorEastAsia"/>
          <w:color w:val="auto"/>
          <w:sz w:val="24"/>
          <w:szCs w:val="24"/>
          <w:highlight w:val="none"/>
          <w:lang w:val="en-US" w:eastAsia="zh-CN"/>
        </w:rPr>
        <w:t>提供①</w:t>
      </w:r>
      <w:r>
        <w:rPr>
          <w:rFonts w:hint="eastAsia" w:asciiTheme="majorEastAsia" w:hAnsiTheme="majorEastAsia" w:eastAsiaTheme="majorEastAsia" w:cstheme="majorEastAsia"/>
          <w:color w:val="auto"/>
          <w:sz w:val="24"/>
          <w:szCs w:val="24"/>
          <w:highlight w:val="none"/>
        </w:rPr>
        <w:t>总体服务方案</w:t>
      </w:r>
      <w:r>
        <w:rPr>
          <w:rFonts w:hint="eastAsia" w:asciiTheme="majorEastAsia" w:hAnsiTheme="majorEastAsia" w:eastAsiaTheme="majorEastAsia" w:cstheme="majorEastAsia"/>
          <w:color w:val="auto"/>
          <w:sz w:val="24"/>
          <w:szCs w:val="24"/>
          <w:highlight w:val="none"/>
          <w:lang w:eastAsia="zh-CN"/>
        </w:rPr>
        <w:t>、</w:t>
      </w:r>
      <w:r>
        <w:rPr>
          <w:rFonts w:hint="eastAsia" w:asciiTheme="majorEastAsia" w:hAnsiTheme="majorEastAsia" w:eastAsiaTheme="majorEastAsia" w:cstheme="majorEastAsia"/>
          <w:color w:val="auto"/>
          <w:sz w:val="24"/>
          <w:szCs w:val="24"/>
          <w:highlight w:val="none"/>
          <w:lang w:val="en-US" w:eastAsia="zh-CN"/>
        </w:rPr>
        <w:t>②</w:t>
      </w:r>
      <w:r>
        <w:rPr>
          <w:rFonts w:hint="eastAsia" w:asciiTheme="majorEastAsia" w:hAnsiTheme="majorEastAsia" w:eastAsiaTheme="majorEastAsia" w:cstheme="majorEastAsia"/>
          <w:color w:val="auto"/>
          <w:sz w:val="24"/>
          <w:szCs w:val="24"/>
          <w:highlight w:val="none"/>
        </w:rPr>
        <w:t>项目重点难点分析</w:t>
      </w:r>
      <w:r>
        <w:rPr>
          <w:rFonts w:hint="eastAsia" w:asciiTheme="majorEastAsia" w:hAnsiTheme="majorEastAsia" w:eastAsiaTheme="majorEastAsia" w:cstheme="majorEastAsia"/>
          <w:color w:val="auto"/>
          <w:sz w:val="24"/>
          <w:szCs w:val="24"/>
          <w:highlight w:val="none"/>
          <w:lang w:eastAsia="zh-CN"/>
        </w:rPr>
        <w:t>、</w:t>
      </w:r>
      <w:r>
        <w:rPr>
          <w:rFonts w:hint="eastAsia" w:asciiTheme="majorEastAsia" w:hAnsiTheme="majorEastAsia" w:eastAsiaTheme="majorEastAsia" w:cstheme="majorEastAsia"/>
          <w:color w:val="auto"/>
          <w:sz w:val="24"/>
          <w:szCs w:val="24"/>
          <w:highlight w:val="none"/>
          <w:lang w:val="en-US" w:eastAsia="zh-CN"/>
        </w:rPr>
        <w:t>③</w:t>
      </w:r>
      <w:r>
        <w:rPr>
          <w:rFonts w:hint="eastAsia" w:asciiTheme="majorEastAsia" w:hAnsiTheme="majorEastAsia" w:eastAsiaTheme="majorEastAsia" w:cstheme="majorEastAsia"/>
          <w:color w:val="auto"/>
          <w:sz w:val="24"/>
          <w:szCs w:val="24"/>
          <w:highlight w:val="none"/>
        </w:rPr>
        <w:t>服务人员管理方案</w:t>
      </w:r>
      <w:r>
        <w:rPr>
          <w:rFonts w:hint="eastAsia" w:asciiTheme="majorEastAsia" w:hAnsiTheme="majorEastAsia" w:eastAsiaTheme="majorEastAsia" w:cstheme="majorEastAsia"/>
          <w:color w:val="auto"/>
          <w:sz w:val="24"/>
          <w:szCs w:val="24"/>
          <w:highlight w:val="none"/>
          <w:lang w:eastAsia="zh-CN"/>
        </w:rPr>
        <w:t>、</w:t>
      </w:r>
      <w:r>
        <w:rPr>
          <w:rFonts w:hint="eastAsia" w:asciiTheme="majorEastAsia" w:hAnsiTheme="majorEastAsia" w:eastAsiaTheme="majorEastAsia" w:cstheme="majorEastAsia"/>
          <w:color w:val="auto"/>
          <w:sz w:val="24"/>
          <w:szCs w:val="24"/>
          <w:highlight w:val="none"/>
          <w:lang w:val="en-US" w:eastAsia="zh-CN"/>
        </w:rPr>
        <w:t>④</w:t>
      </w:r>
      <w:r>
        <w:rPr>
          <w:rFonts w:hint="eastAsia" w:asciiTheme="majorEastAsia" w:hAnsiTheme="majorEastAsia" w:eastAsiaTheme="majorEastAsia" w:cstheme="majorEastAsia"/>
          <w:color w:val="auto"/>
          <w:sz w:val="24"/>
          <w:szCs w:val="24"/>
          <w:highlight w:val="none"/>
        </w:rPr>
        <w:t>服务人员调配</w:t>
      </w:r>
      <w:r>
        <w:rPr>
          <w:rFonts w:hint="eastAsia" w:asciiTheme="majorEastAsia" w:hAnsiTheme="majorEastAsia" w:eastAsiaTheme="majorEastAsia" w:cstheme="majorEastAsia"/>
          <w:color w:val="auto"/>
          <w:sz w:val="24"/>
          <w:szCs w:val="24"/>
          <w:highlight w:val="none"/>
          <w:lang w:val="en-US" w:eastAsia="zh-CN"/>
        </w:rPr>
        <w:t>方案</w:t>
      </w:r>
      <w:r>
        <w:rPr>
          <w:rFonts w:hint="eastAsia" w:asciiTheme="majorEastAsia" w:hAnsiTheme="majorEastAsia" w:eastAsiaTheme="majorEastAsia" w:cstheme="majorEastAsia"/>
          <w:color w:val="auto"/>
          <w:sz w:val="24"/>
          <w:szCs w:val="24"/>
          <w:highlight w:val="none"/>
          <w:lang w:eastAsia="zh-CN"/>
        </w:rPr>
        <w:t>、</w:t>
      </w:r>
      <w:r>
        <w:rPr>
          <w:rFonts w:hint="eastAsia" w:asciiTheme="majorEastAsia" w:hAnsiTheme="majorEastAsia" w:eastAsiaTheme="majorEastAsia" w:cstheme="majorEastAsia"/>
          <w:color w:val="auto"/>
          <w:sz w:val="24"/>
          <w:szCs w:val="24"/>
          <w:highlight w:val="none"/>
          <w:lang w:val="en-US" w:eastAsia="zh-CN"/>
        </w:rPr>
        <w:t>⑤</w:t>
      </w:r>
      <w:r>
        <w:rPr>
          <w:rFonts w:hint="eastAsia" w:asciiTheme="majorEastAsia" w:hAnsiTheme="majorEastAsia" w:eastAsiaTheme="majorEastAsia" w:cstheme="majorEastAsia"/>
          <w:color w:val="auto"/>
          <w:sz w:val="24"/>
          <w:szCs w:val="24"/>
          <w:highlight w:val="none"/>
        </w:rPr>
        <w:t>内部管理制度</w:t>
      </w:r>
      <w:r>
        <w:rPr>
          <w:rFonts w:hint="eastAsia" w:asciiTheme="majorEastAsia" w:hAnsiTheme="majorEastAsia" w:eastAsiaTheme="majorEastAsia" w:cstheme="majorEastAsia"/>
          <w:color w:val="auto"/>
          <w:sz w:val="24"/>
          <w:szCs w:val="24"/>
          <w:highlight w:val="none"/>
          <w:lang w:eastAsia="zh-CN"/>
        </w:rPr>
        <w:t>、</w:t>
      </w:r>
      <w:r>
        <w:rPr>
          <w:rFonts w:hint="eastAsia" w:asciiTheme="majorEastAsia" w:hAnsiTheme="majorEastAsia" w:eastAsiaTheme="majorEastAsia" w:cstheme="majorEastAsia"/>
          <w:color w:val="auto"/>
          <w:sz w:val="24"/>
          <w:szCs w:val="24"/>
          <w:highlight w:val="none"/>
          <w:lang w:val="en-US" w:eastAsia="zh-CN"/>
        </w:rPr>
        <w:t>⑥</w:t>
      </w:r>
      <w:r>
        <w:rPr>
          <w:rFonts w:hint="eastAsia" w:asciiTheme="majorEastAsia" w:hAnsiTheme="majorEastAsia" w:eastAsiaTheme="majorEastAsia" w:cstheme="majorEastAsia"/>
          <w:color w:val="auto"/>
          <w:sz w:val="24"/>
          <w:szCs w:val="24"/>
          <w:highlight w:val="none"/>
        </w:rPr>
        <w:t>应急处理方案</w:t>
      </w:r>
      <w:r>
        <w:rPr>
          <w:rFonts w:hint="eastAsia" w:asciiTheme="majorEastAsia" w:hAnsiTheme="majorEastAsia" w:eastAsiaTheme="majorEastAsia" w:cstheme="majorEastAsia"/>
          <w:color w:val="auto"/>
          <w:sz w:val="24"/>
          <w:szCs w:val="24"/>
          <w:highlight w:val="none"/>
          <w:lang w:eastAsia="zh-CN"/>
        </w:rPr>
        <w:t>、</w:t>
      </w:r>
      <w:r>
        <w:rPr>
          <w:rFonts w:hint="eastAsia" w:asciiTheme="majorEastAsia" w:hAnsiTheme="majorEastAsia" w:eastAsiaTheme="majorEastAsia" w:cstheme="majorEastAsia"/>
          <w:color w:val="auto"/>
          <w:sz w:val="24"/>
          <w:szCs w:val="24"/>
          <w:highlight w:val="none"/>
          <w:lang w:val="en-US" w:eastAsia="zh-CN"/>
        </w:rPr>
        <w:t>⑦</w:t>
      </w:r>
      <w:r>
        <w:rPr>
          <w:rFonts w:hint="eastAsia" w:asciiTheme="majorEastAsia" w:hAnsiTheme="majorEastAsia" w:eastAsiaTheme="majorEastAsia" w:cstheme="majorEastAsia"/>
          <w:color w:val="auto"/>
          <w:sz w:val="24"/>
          <w:szCs w:val="24"/>
          <w:highlight w:val="none"/>
        </w:rPr>
        <w:t>服务质量保证方案及措施</w:t>
      </w:r>
      <w:r>
        <w:rPr>
          <w:rFonts w:hint="eastAsia" w:asciiTheme="majorEastAsia" w:hAnsiTheme="majorEastAsia" w:eastAsiaTheme="majorEastAsia" w:cstheme="majorEastAsia"/>
          <w:color w:val="auto"/>
          <w:sz w:val="24"/>
          <w:szCs w:val="24"/>
          <w:highlight w:val="none"/>
        </w:rPr>
        <w:t>，全力配合采购人的工作推进。</w:t>
      </w:r>
    </w:p>
    <w:p w14:paraId="75866451">
      <w:pPr>
        <w:numPr>
          <w:ilvl w:val="0"/>
          <w:numId w:val="0"/>
        </w:numPr>
        <w:adjustRightInd w:val="0"/>
        <w:snapToGrid w:val="0"/>
        <w:spacing w:line="360" w:lineRule="auto"/>
        <w:ind w:leftChars="0"/>
        <w:jc w:val="left"/>
        <w:outlineLvl w:val="0"/>
        <w:rPr>
          <w:rFonts w:hint="eastAsia"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建议投标人具有同类项目经验（</w:t>
      </w:r>
      <w:r>
        <w:rPr>
          <w:rFonts w:hint="eastAsia" w:asciiTheme="majorEastAsia" w:hAnsiTheme="majorEastAsia" w:eastAsiaTheme="majorEastAsia" w:cstheme="majorEastAsia"/>
          <w:color w:val="auto"/>
          <w:sz w:val="24"/>
          <w:szCs w:val="24"/>
          <w:highlight w:val="none"/>
          <w:lang w:val="en-US" w:eastAsia="zh-CN"/>
        </w:rPr>
        <w:t>承接过</w:t>
      </w:r>
      <w:r>
        <w:rPr>
          <w:rFonts w:hint="eastAsia" w:asciiTheme="majorEastAsia" w:hAnsiTheme="majorEastAsia" w:eastAsiaTheme="majorEastAsia" w:cstheme="majorEastAsia"/>
          <w:color w:val="auto"/>
          <w:sz w:val="24"/>
          <w:szCs w:val="24"/>
          <w:highlight w:val="none"/>
        </w:rPr>
        <w:t>校医、卫生技术人员、卫生专业技术人员等类似</w:t>
      </w:r>
      <w:r>
        <w:rPr>
          <w:rFonts w:hint="eastAsia" w:asciiTheme="majorEastAsia" w:hAnsiTheme="majorEastAsia" w:eastAsiaTheme="majorEastAsia" w:cstheme="majorEastAsia"/>
          <w:color w:val="auto"/>
          <w:sz w:val="24"/>
          <w:szCs w:val="24"/>
          <w:highlight w:val="none"/>
          <w:lang w:val="en-US" w:eastAsia="zh-CN"/>
        </w:rPr>
        <w:t>服务</w:t>
      </w:r>
      <w:r>
        <w:rPr>
          <w:rFonts w:hint="eastAsia" w:asciiTheme="majorEastAsia" w:hAnsiTheme="majorEastAsia" w:eastAsiaTheme="majorEastAsia" w:cstheme="majorEastAsia"/>
          <w:color w:val="auto"/>
          <w:sz w:val="24"/>
          <w:szCs w:val="24"/>
          <w:highlight w:val="none"/>
        </w:rPr>
        <w:t>工作）</w:t>
      </w:r>
      <w:r>
        <w:rPr>
          <w:rFonts w:hint="eastAsia" w:asciiTheme="majorEastAsia" w:hAnsiTheme="majorEastAsia" w:eastAsiaTheme="majorEastAsia" w:cstheme="majorEastAsia"/>
          <w:color w:val="auto"/>
          <w:sz w:val="24"/>
          <w:szCs w:val="24"/>
          <w:highlight w:val="none"/>
          <w:lang w:val="en-US" w:eastAsia="zh-CN"/>
        </w:rPr>
        <w:t>且</w:t>
      </w:r>
      <w:r>
        <w:rPr>
          <w:rFonts w:hint="eastAsia" w:asciiTheme="majorEastAsia" w:hAnsiTheme="majorEastAsia" w:eastAsiaTheme="majorEastAsia" w:cstheme="majorEastAsia"/>
          <w:color w:val="auto"/>
          <w:sz w:val="24"/>
          <w:szCs w:val="24"/>
          <w:highlight w:val="none"/>
        </w:rPr>
        <w:t>有良好的</w:t>
      </w:r>
      <w:r>
        <w:rPr>
          <w:rFonts w:hint="eastAsia" w:asciiTheme="majorEastAsia" w:hAnsiTheme="majorEastAsia" w:eastAsiaTheme="majorEastAsia" w:cstheme="majorEastAsia"/>
          <w:color w:val="auto"/>
          <w:sz w:val="24"/>
          <w:szCs w:val="24"/>
          <w:highlight w:val="none"/>
          <w:lang w:val="en-US" w:eastAsia="zh-CN"/>
        </w:rPr>
        <w:t>评价。</w:t>
      </w:r>
      <w:r>
        <w:rPr>
          <w:rFonts w:hint="eastAsia" w:asciiTheme="majorEastAsia" w:hAnsiTheme="majorEastAsia" w:eastAsiaTheme="majorEastAsia" w:cstheme="majorEastAsia"/>
          <w:color w:val="auto"/>
          <w:sz w:val="24"/>
          <w:szCs w:val="24"/>
          <w:highlight w:val="none"/>
        </w:rPr>
        <w:t>投标人具有良好的管理体系</w:t>
      </w:r>
      <w:r>
        <w:rPr>
          <w:rFonts w:hint="eastAsia" w:asciiTheme="majorEastAsia" w:hAnsiTheme="majorEastAsia" w:eastAsiaTheme="majorEastAsia" w:cstheme="majorEastAsia"/>
          <w:color w:val="auto"/>
          <w:sz w:val="24"/>
          <w:szCs w:val="24"/>
          <w:highlight w:val="none"/>
          <w:lang w:eastAsia="zh-CN"/>
        </w:rPr>
        <w:t>、</w:t>
      </w:r>
      <w:r>
        <w:rPr>
          <w:rFonts w:hint="eastAsia" w:asciiTheme="majorEastAsia" w:hAnsiTheme="majorEastAsia" w:eastAsiaTheme="majorEastAsia" w:cstheme="majorEastAsia"/>
          <w:color w:val="auto"/>
          <w:sz w:val="24"/>
          <w:szCs w:val="24"/>
          <w:highlight w:val="none"/>
        </w:rPr>
        <w:t>高水平的</w:t>
      </w:r>
      <w:r>
        <w:rPr>
          <w:rFonts w:hint="eastAsia" w:asciiTheme="majorEastAsia" w:hAnsiTheme="majorEastAsia" w:eastAsiaTheme="majorEastAsia" w:cstheme="majorEastAsia"/>
          <w:color w:val="auto"/>
          <w:sz w:val="24"/>
          <w:szCs w:val="24"/>
          <w:highlight w:val="none"/>
          <w:lang w:val="en-US" w:eastAsia="zh-CN"/>
        </w:rPr>
        <w:t>服务</w:t>
      </w:r>
      <w:r>
        <w:rPr>
          <w:rFonts w:hint="eastAsia" w:asciiTheme="majorEastAsia" w:hAnsiTheme="majorEastAsia" w:eastAsiaTheme="majorEastAsia" w:cstheme="majorEastAsia"/>
          <w:color w:val="auto"/>
          <w:sz w:val="24"/>
          <w:szCs w:val="24"/>
          <w:highlight w:val="none"/>
        </w:rPr>
        <w:t>团队开展服务</w:t>
      </w:r>
      <w:r>
        <w:rPr>
          <w:rFonts w:hint="eastAsia" w:asciiTheme="majorEastAsia" w:hAnsiTheme="majorEastAsia" w:eastAsiaTheme="majorEastAsia" w:cstheme="majorEastAsia"/>
          <w:color w:val="auto"/>
          <w:sz w:val="24"/>
          <w:szCs w:val="24"/>
          <w:highlight w:val="none"/>
          <w:lang w:val="en-US" w:eastAsia="zh-CN"/>
        </w:rPr>
        <w:t>工作</w:t>
      </w:r>
      <w:r>
        <w:rPr>
          <w:rFonts w:hint="eastAsia" w:asciiTheme="majorEastAsia" w:hAnsiTheme="majorEastAsia" w:eastAsiaTheme="majorEastAsia" w:cstheme="majorEastAsia"/>
          <w:color w:val="auto"/>
          <w:sz w:val="24"/>
          <w:szCs w:val="24"/>
          <w:highlight w:val="none"/>
        </w:rPr>
        <w:t>。项目负责人宜具有</w:t>
      </w:r>
      <w:r>
        <w:rPr>
          <w:rFonts w:hint="eastAsia" w:asciiTheme="majorEastAsia" w:hAnsiTheme="majorEastAsia" w:eastAsiaTheme="majorEastAsia" w:cstheme="majorEastAsia"/>
          <w:b w:val="0"/>
          <w:bCs w:val="0"/>
          <w:color w:val="auto"/>
          <w:sz w:val="24"/>
          <w:szCs w:val="24"/>
          <w:highlight w:val="none"/>
        </w:rPr>
        <w:t>人力资源</w:t>
      </w:r>
      <w:r>
        <w:rPr>
          <w:rFonts w:hint="eastAsia" w:asciiTheme="majorEastAsia" w:hAnsiTheme="majorEastAsia" w:eastAsiaTheme="majorEastAsia" w:cstheme="majorEastAsia"/>
          <w:color w:val="auto"/>
          <w:sz w:val="24"/>
          <w:szCs w:val="24"/>
          <w:highlight w:val="none"/>
        </w:rPr>
        <w:t>专业</w:t>
      </w:r>
      <w:r>
        <w:rPr>
          <w:rFonts w:hint="eastAsia" w:asciiTheme="majorEastAsia" w:hAnsiTheme="majorEastAsia" w:eastAsiaTheme="majorEastAsia" w:cstheme="majorEastAsia"/>
          <w:b w:val="0"/>
          <w:bCs w:val="0"/>
          <w:color w:val="auto"/>
          <w:sz w:val="24"/>
          <w:szCs w:val="24"/>
          <w:highlight w:val="none"/>
        </w:rPr>
        <w:t>中级</w:t>
      </w:r>
      <w:r>
        <w:rPr>
          <w:rFonts w:hint="eastAsia" w:asciiTheme="majorEastAsia" w:hAnsiTheme="majorEastAsia" w:eastAsiaTheme="majorEastAsia" w:cstheme="majorEastAsia"/>
          <w:b w:val="0"/>
          <w:bCs w:val="0"/>
          <w:color w:val="auto"/>
          <w:sz w:val="24"/>
          <w:szCs w:val="24"/>
          <w:highlight w:val="none"/>
          <w:lang w:eastAsia="zh-CN"/>
        </w:rPr>
        <w:t>（</w:t>
      </w:r>
      <w:r>
        <w:rPr>
          <w:rFonts w:hint="eastAsia" w:asciiTheme="majorEastAsia" w:hAnsiTheme="majorEastAsia" w:eastAsiaTheme="majorEastAsia" w:cstheme="majorEastAsia"/>
          <w:b w:val="0"/>
          <w:bCs w:val="0"/>
          <w:color w:val="auto"/>
          <w:sz w:val="24"/>
          <w:szCs w:val="24"/>
          <w:highlight w:val="none"/>
        </w:rPr>
        <w:t>或以上</w:t>
      </w:r>
      <w:r>
        <w:rPr>
          <w:rFonts w:hint="eastAsia" w:asciiTheme="majorEastAsia" w:hAnsiTheme="majorEastAsia" w:eastAsiaTheme="majorEastAsia" w:cstheme="majorEastAsia"/>
          <w:b w:val="0"/>
          <w:bCs w:val="0"/>
          <w:color w:val="auto"/>
          <w:sz w:val="24"/>
          <w:szCs w:val="24"/>
          <w:highlight w:val="none"/>
          <w:lang w:eastAsia="zh-CN"/>
        </w:rPr>
        <w:t>）</w:t>
      </w:r>
      <w:r>
        <w:rPr>
          <w:rFonts w:hint="eastAsia" w:asciiTheme="majorEastAsia" w:hAnsiTheme="majorEastAsia" w:eastAsiaTheme="majorEastAsia" w:cstheme="majorEastAsia"/>
          <w:b w:val="0"/>
          <w:bCs w:val="0"/>
          <w:color w:val="auto"/>
          <w:sz w:val="24"/>
          <w:szCs w:val="24"/>
          <w:highlight w:val="none"/>
        </w:rPr>
        <w:t>职称</w:t>
      </w:r>
      <w:r>
        <w:rPr>
          <w:rFonts w:hint="eastAsia" w:asciiTheme="majorEastAsia" w:hAnsiTheme="majorEastAsia" w:eastAsiaTheme="majorEastAsia" w:cstheme="majorEastAsia"/>
          <w:b w:val="0"/>
          <w:bCs w:val="0"/>
          <w:color w:val="auto"/>
          <w:sz w:val="24"/>
          <w:szCs w:val="24"/>
          <w:highlight w:val="none"/>
          <w:lang w:val="en-US" w:eastAsia="zh-CN"/>
        </w:rPr>
        <w:t>或执业资格及相关工作经验</w:t>
      </w:r>
      <w:r>
        <w:rPr>
          <w:rFonts w:hint="eastAsia" w:asciiTheme="majorEastAsia" w:hAnsiTheme="majorEastAsia" w:eastAsiaTheme="majorEastAsia" w:cstheme="majorEastAsia"/>
          <w:color w:val="auto"/>
          <w:sz w:val="24"/>
          <w:szCs w:val="24"/>
          <w:highlight w:val="none"/>
        </w:rPr>
        <w:t>。项目团队成员宜具有</w:t>
      </w:r>
      <w:r>
        <w:rPr>
          <w:rFonts w:hint="eastAsia" w:asciiTheme="majorEastAsia" w:hAnsiTheme="majorEastAsia" w:eastAsiaTheme="majorEastAsia" w:cstheme="majorEastAsia"/>
          <w:b w:val="0"/>
          <w:bCs w:val="0"/>
          <w:color w:val="auto"/>
          <w:sz w:val="24"/>
          <w:szCs w:val="24"/>
          <w:highlight w:val="none"/>
        </w:rPr>
        <w:t>人力资源</w:t>
      </w:r>
      <w:r>
        <w:rPr>
          <w:rFonts w:hint="eastAsia" w:asciiTheme="majorEastAsia" w:hAnsiTheme="majorEastAsia" w:eastAsiaTheme="majorEastAsia" w:cstheme="majorEastAsia"/>
          <w:color w:val="auto"/>
          <w:sz w:val="24"/>
          <w:szCs w:val="24"/>
          <w:highlight w:val="none"/>
        </w:rPr>
        <w:t>专业</w:t>
      </w:r>
      <w:r>
        <w:rPr>
          <w:rFonts w:hint="eastAsia" w:asciiTheme="majorEastAsia" w:hAnsiTheme="majorEastAsia" w:eastAsiaTheme="majorEastAsia" w:cstheme="majorEastAsia"/>
          <w:b w:val="0"/>
          <w:bCs w:val="0"/>
          <w:color w:val="auto"/>
          <w:sz w:val="24"/>
          <w:szCs w:val="24"/>
          <w:highlight w:val="none"/>
        </w:rPr>
        <w:t>中级</w:t>
      </w:r>
      <w:r>
        <w:rPr>
          <w:rFonts w:hint="eastAsia" w:asciiTheme="majorEastAsia" w:hAnsiTheme="majorEastAsia" w:eastAsiaTheme="majorEastAsia" w:cstheme="majorEastAsia"/>
          <w:b w:val="0"/>
          <w:bCs w:val="0"/>
          <w:color w:val="auto"/>
          <w:sz w:val="24"/>
          <w:szCs w:val="24"/>
          <w:highlight w:val="none"/>
          <w:lang w:eastAsia="zh-CN"/>
        </w:rPr>
        <w:t>（</w:t>
      </w:r>
      <w:r>
        <w:rPr>
          <w:rFonts w:hint="eastAsia" w:asciiTheme="majorEastAsia" w:hAnsiTheme="majorEastAsia" w:eastAsiaTheme="majorEastAsia" w:cstheme="majorEastAsia"/>
          <w:b w:val="0"/>
          <w:bCs w:val="0"/>
          <w:color w:val="auto"/>
          <w:sz w:val="24"/>
          <w:szCs w:val="24"/>
          <w:highlight w:val="none"/>
        </w:rPr>
        <w:t>或以上</w:t>
      </w:r>
      <w:r>
        <w:rPr>
          <w:rFonts w:hint="eastAsia" w:asciiTheme="majorEastAsia" w:hAnsiTheme="majorEastAsia" w:eastAsiaTheme="majorEastAsia" w:cstheme="majorEastAsia"/>
          <w:b w:val="0"/>
          <w:bCs w:val="0"/>
          <w:color w:val="auto"/>
          <w:sz w:val="24"/>
          <w:szCs w:val="24"/>
          <w:highlight w:val="none"/>
          <w:lang w:eastAsia="zh-CN"/>
        </w:rPr>
        <w:t>）</w:t>
      </w:r>
      <w:r>
        <w:rPr>
          <w:rFonts w:hint="eastAsia" w:asciiTheme="majorEastAsia" w:hAnsiTheme="majorEastAsia" w:eastAsiaTheme="majorEastAsia" w:cstheme="majorEastAsia"/>
          <w:b w:val="0"/>
          <w:bCs w:val="0"/>
          <w:color w:val="auto"/>
          <w:sz w:val="24"/>
          <w:szCs w:val="24"/>
          <w:highlight w:val="none"/>
        </w:rPr>
        <w:t>职称</w:t>
      </w:r>
      <w:r>
        <w:rPr>
          <w:rFonts w:hint="eastAsia" w:asciiTheme="majorEastAsia" w:hAnsiTheme="majorEastAsia" w:eastAsiaTheme="majorEastAsia" w:cstheme="majorEastAsia"/>
          <w:b w:val="0"/>
          <w:bCs w:val="0"/>
          <w:color w:val="auto"/>
          <w:sz w:val="24"/>
          <w:szCs w:val="24"/>
          <w:highlight w:val="none"/>
          <w:lang w:val="en-US" w:eastAsia="zh-CN"/>
        </w:rPr>
        <w:t>或执业资格</w:t>
      </w:r>
      <w:r>
        <w:rPr>
          <w:rFonts w:hint="eastAsia" w:asciiTheme="majorEastAsia" w:hAnsiTheme="majorEastAsia" w:eastAsiaTheme="majorEastAsia" w:cstheme="majorEastAsia"/>
          <w:color w:val="auto"/>
          <w:sz w:val="24"/>
          <w:szCs w:val="24"/>
          <w:highlight w:val="none"/>
        </w:rPr>
        <w:t>。投标人需具备良好的服务评价，收到采购人通知（电话或书面）后能及时迅速响应。</w:t>
      </w:r>
    </w:p>
    <w:p w14:paraId="10D28E22">
      <w:pPr>
        <w:numPr>
          <w:ilvl w:val="0"/>
          <w:numId w:val="0"/>
        </w:numPr>
        <w:adjustRightInd w:val="0"/>
        <w:snapToGrid w:val="0"/>
        <w:spacing w:line="360" w:lineRule="auto"/>
        <w:ind w:leftChars="0"/>
        <w:jc w:val="left"/>
        <w:outlineLvl w:val="0"/>
        <w:rPr>
          <w:rFonts w:hint="eastAsia" w:asciiTheme="majorEastAsia" w:hAnsiTheme="majorEastAsia" w:eastAsiaTheme="majorEastAsia" w:cstheme="majorEastAsia"/>
          <w:b/>
          <w:color w:val="auto"/>
          <w:sz w:val="24"/>
          <w:szCs w:val="24"/>
          <w:highlight w:val="none"/>
          <w:lang w:val="en-US" w:eastAsia="zh-CN"/>
        </w:rPr>
      </w:pPr>
      <w:r>
        <w:rPr>
          <w:rFonts w:hint="eastAsia" w:asciiTheme="majorEastAsia" w:hAnsiTheme="majorEastAsia" w:eastAsiaTheme="majorEastAsia" w:cstheme="majorEastAsia"/>
          <w:b/>
          <w:color w:val="auto"/>
          <w:sz w:val="24"/>
          <w:szCs w:val="24"/>
          <w:highlight w:val="none"/>
          <w:lang w:val="en-US" w:eastAsia="zh-CN"/>
        </w:rPr>
        <w:t>八、付款方式：</w:t>
      </w:r>
    </w:p>
    <w:p w14:paraId="24EF78D1">
      <w:pPr>
        <w:numPr>
          <w:ilvl w:val="0"/>
          <w:numId w:val="0"/>
        </w:numPr>
        <w:adjustRightInd w:val="0"/>
        <w:snapToGrid w:val="0"/>
        <w:spacing w:line="360" w:lineRule="auto"/>
        <w:ind w:leftChars="0"/>
        <w:jc w:val="left"/>
        <w:outlineLvl w:val="0"/>
        <w:rPr>
          <w:rFonts w:hint="eastAsia" w:asciiTheme="majorEastAsia" w:hAnsiTheme="majorEastAsia" w:eastAsiaTheme="majorEastAsia" w:cstheme="majorEastAsia"/>
          <w:b w:val="0"/>
          <w:bCs/>
          <w:color w:val="auto"/>
          <w:sz w:val="24"/>
          <w:szCs w:val="24"/>
          <w:highlight w:val="none"/>
          <w:lang w:val="en-US" w:eastAsia="zh-CN"/>
        </w:rPr>
      </w:pPr>
      <w:r>
        <w:rPr>
          <w:rFonts w:hint="eastAsia" w:asciiTheme="majorEastAsia" w:hAnsiTheme="majorEastAsia" w:eastAsiaTheme="majorEastAsia" w:cstheme="majorEastAsia"/>
          <w:b w:val="0"/>
          <w:bCs/>
          <w:color w:val="auto"/>
          <w:sz w:val="24"/>
          <w:szCs w:val="24"/>
          <w:highlight w:val="none"/>
          <w:lang w:val="en-US" w:eastAsia="zh-CN"/>
        </w:rPr>
        <w:t>1.中标人收取的服务费的构成为：提供服务人员的成本开支+中标人合理利润+税费，其具体构成如下：</w:t>
      </w:r>
    </w:p>
    <w:p w14:paraId="1F83EFA8">
      <w:pPr>
        <w:numPr>
          <w:ilvl w:val="0"/>
          <w:numId w:val="0"/>
        </w:numPr>
        <w:adjustRightInd w:val="0"/>
        <w:snapToGrid w:val="0"/>
        <w:spacing w:line="360" w:lineRule="auto"/>
        <w:ind w:leftChars="0"/>
        <w:jc w:val="left"/>
        <w:outlineLvl w:val="0"/>
        <w:rPr>
          <w:rFonts w:hint="eastAsia" w:asciiTheme="majorEastAsia" w:hAnsiTheme="majorEastAsia" w:eastAsiaTheme="majorEastAsia" w:cstheme="majorEastAsia"/>
          <w:b w:val="0"/>
          <w:bCs/>
          <w:color w:val="auto"/>
          <w:sz w:val="24"/>
          <w:szCs w:val="24"/>
          <w:highlight w:val="none"/>
          <w:lang w:val="en-US" w:eastAsia="zh-CN"/>
        </w:rPr>
      </w:pPr>
      <w:r>
        <w:rPr>
          <w:rFonts w:hint="eastAsia" w:asciiTheme="majorEastAsia" w:hAnsiTheme="majorEastAsia" w:eastAsiaTheme="majorEastAsia" w:cstheme="majorEastAsia"/>
          <w:b w:val="0"/>
          <w:bCs/>
          <w:color w:val="auto"/>
          <w:sz w:val="24"/>
          <w:szCs w:val="24"/>
          <w:highlight w:val="none"/>
          <w:lang w:val="en-US" w:eastAsia="zh-CN"/>
        </w:rPr>
        <w:t>(1)提供服务人员的成本开支：招聘服务人员费用，服务人员工资、社会保险费、住房公积金、绩效奖金等其他福利待遇（“每年经费”）；</w:t>
      </w:r>
    </w:p>
    <w:p w14:paraId="7742CBD8">
      <w:pPr>
        <w:numPr>
          <w:ilvl w:val="0"/>
          <w:numId w:val="0"/>
        </w:numPr>
        <w:adjustRightInd w:val="0"/>
        <w:snapToGrid w:val="0"/>
        <w:spacing w:line="360" w:lineRule="auto"/>
        <w:ind w:leftChars="0"/>
        <w:jc w:val="left"/>
        <w:outlineLvl w:val="0"/>
        <w:rPr>
          <w:rFonts w:hint="eastAsia" w:asciiTheme="majorEastAsia" w:hAnsiTheme="majorEastAsia" w:eastAsiaTheme="majorEastAsia" w:cstheme="majorEastAsia"/>
          <w:b w:val="0"/>
          <w:bCs/>
          <w:color w:val="auto"/>
          <w:sz w:val="24"/>
          <w:szCs w:val="24"/>
          <w:highlight w:val="none"/>
          <w:lang w:val="en-US" w:eastAsia="zh-CN"/>
        </w:rPr>
      </w:pPr>
      <w:r>
        <w:rPr>
          <w:rFonts w:hint="eastAsia" w:asciiTheme="majorEastAsia" w:hAnsiTheme="majorEastAsia" w:eastAsiaTheme="majorEastAsia" w:cstheme="majorEastAsia"/>
          <w:b w:val="0"/>
          <w:bCs/>
          <w:color w:val="auto"/>
          <w:sz w:val="24"/>
          <w:szCs w:val="24"/>
          <w:highlight w:val="none"/>
          <w:lang w:val="en-US" w:eastAsia="zh-CN"/>
        </w:rPr>
        <w:t>(2)人才管理费（中标人酬金）（以中标金额为准）；</w:t>
      </w:r>
    </w:p>
    <w:p w14:paraId="552AA643">
      <w:pPr>
        <w:numPr>
          <w:ilvl w:val="0"/>
          <w:numId w:val="0"/>
        </w:numPr>
        <w:adjustRightInd w:val="0"/>
        <w:snapToGrid w:val="0"/>
        <w:spacing w:line="360" w:lineRule="auto"/>
        <w:ind w:leftChars="0"/>
        <w:jc w:val="left"/>
        <w:outlineLvl w:val="0"/>
        <w:rPr>
          <w:rFonts w:hint="eastAsia" w:asciiTheme="majorEastAsia" w:hAnsiTheme="majorEastAsia" w:eastAsiaTheme="majorEastAsia" w:cstheme="majorEastAsia"/>
          <w:b w:val="0"/>
          <w:bCs/>
          <w:color w:val="auto"/>
          <w:sz w:val="24"/>
          <w:szCs w:val="24"/>
          <w:highlight w:val="none"/>
          <w:lang w:val="en-US" w:eastAsia="zh-CN"/>
        </w:rPr>
      </w:pPr>
      <w:r>
        <w:rPr>
          <w:rFonts w:hint="eastAsia" w:asciiTheme="majorEastAsia" w:hAnsiTheme="majorEastAsia" w:eastAsiaTheme="majorEastAsia" w:cstheme="majorEastAsia"/>
          <w:b w:val="0"/>
          <w:bCs/>
          <w:color w:val="auto"/>
          <w:sz w:val="24"/>
          <w:szCs w:val="24"/>
          <w:highlight w:val="none"/>
          <w:lang w:val="en-US" w:eastAsia="zh-CN"/>
        </w:rPr>
        <w:t>(3)各项税费。</w:t>
      </w:r>
    </w:p>
    <w:p w14:paraId="6ACB3C62">
      <w:pPr>
        <w:numPr>
          <w:ilvl w:val="0"/>
          <w:numId w:val="0"/>
        </w:numPr>
        <w:adjustRightInd w:val="0"/>
        <w:snapToGrid w:val="0"/>
        <w:spacing w:line="360" w:lineRule="auto"/>
        <w:ind w:leftChars="0"/>
        <w:jc w:val="left"/>
        <w:outlineLvl w:val="0"/>
        <w:rPr>
          <w:rFonts w:hint="eastAsia" w:asciiTheme="majorEastAsia" w:hAnsiTheme="majorEastAsia" w:eastAsiaTheme="majorEastAsia" w:cstheme="majorEastAsia"/>
          <w:b w:val="0"/>
          <w:bCs/>
          <w:color w:val="auto"/>
          <w:sz w:val="24"/>
          <w:szCs w:val="24"/>
          <w:highlight w:val="none"/>
          <w:lang w:val="en-US" w:eastAsia="zh-CN"/>
        </w:rPr>
      </w:pPr>
      <w:r>
        <w:rPr>
          <w:rFonts w:hint="eastAsia" w:asciiTheme="majorEastAsia" w:hAnsiTheme="majorEastAsia" w:eastAsiaTheme="majorEastAsia" w:cstheme="majorEastAsia"/>
          <w:b w:val="0"/>
          <w:bCs/>
          <w:color w:val="auto"/>
          <w:sz w:val="24"/>
          <w:szCs w:val="24"/>
          <w:highlight w:val="none"/>
          <w:lang w:val="en-US" w:eastAsia="zh-CN"/>
        </w:rPr>
        <w:t>中标人须确保服务费总额85%及以上经费发放给服务校医本人。</w:t>
      </w:r>
    </w:p>
    <w:p w14:paraId="179EFC31">
      <w:pPr>
        <w:numPr>
          <w:ilvl w:val="0"/>
          <w:numId w:val="0"/>
        </w:numPr>
        <w:adjustRightInd w:val="0"/>
        <w:snapToGrid w:val="0"/>
        <w:spacing w:line="360" w:lineRule="auto"/>
        <w:ind w:leftChars="0"/>
        <w:jc w:val="left"/>
        <w:outlineLvl w:val="0"/>
        <w:rPr>
          <w:rFonts w:hint="eastAsia" w:asciiTheme="majorEastAsia" w:hAnsiTheme="majorEastAsia" w:eastAsiaTheme="majorEastAsia" w:cstheme="majorEastAsia"/>
          <w:b w:val="0"/>
          <w:bCs/>
          <w:color w:val="auto"/>
          <w:sz w:val="24"/>
          <w:szCs w:val="24"/>
          <w:highlight w:val="none"/>
          <w:lang w:val="en-US" w:eastAsia="zh-CN"/>
        </w:rPr>
      </w:pPr>
      <w:r>
        <w:rPr>
          <w:rFonts w:hint="eastAsia" w:asciiTheme="majorEastAsia" w:hAnsiTheme="majorEastAsia" w:eastAsiaTheme="majorEastAsia" w:cstheme="majorEastAsia"/>
          <w:b w:val="0"/>
          <w:bCs/>
          <w:color w:val="auto"/>
          <w:sz w:val="24"/>
          <w:szCs w:val="24"/>
          <w:highlight w:val="none"/>
          <w:lang w:val="en-US" w:eastAsia="zh-CN"/>
        </w:rPr>
        <w:t>本项目按年度支付，其中招聘服务人员费用、人才管理费（中标人酬金）、税费开具一张发票。提供服务人员的工资、社会保险费、住房公积金、绩效奖金，开具另一张发票。 采购人应向中标人支付的费用标准：医生：32名；护士：156名。项目费用由采购人在专项经费中支出，于合同服务期满之后一次性支付。</w:t>
      </w:r>
    </w:p>
    <w:p w14:paraId="3327CF63">
      <w:pPr>
        <w:numPr>
          <w:ilvl w:val="0"/>
          <w:numId w:val="0"/>
        </w:numPr>
        <w:adjustRightInd w:val="0"/>
        <w:snapToGrid w:val="0"/>
        <w:spacing w:line="360" w:lineRule="auto"/>
        <w:ind w:leftChars="0"/>
        <w:jc w:val="left"/>
        <w:outlineLvl w:val="0"/>
        <w:rPr>
          <w:rFonts w:hint="eastAsia" w:asciiTheme="majorEastAsia" w:hAnsiTheme="majorEastAsia" w:eastAsiaTheme="majorEastAsia" w:cstheme="majorEastAsia"/>
          <w:b w:val="0"/>
          <w:bCs/>
          <w:color w:val="auto"/>
          <w:sz w:val="24"/>
          <w:szCs w:val="24"/>
          <w:highlight w:val="none"/>
          <w:lang w:val="en-US" w:eastAsia="zh-CN"/>
        </w:rPr>
      </w:pPr>
      <w:r>
        <w:rPr>
          <w:rFonts w:hint="eastAsia" w:asciiTheme="majorEastAsia" w:hAnsiTheme="majorEastAsia" w:eastAsiaTheme="majorEastAsia" w:cstheme="majorEastAsia"/>
          <w:b/>
          <w:color w:val="auto"/>
          <w:sz w:val="24"/>
          <w:szCs w:val="24"/>
          <w:highlight w:val="none"/>
          <w:lang w:val="en-US" w:eastAsia="zh-CN"/>
        </w:rPr>
        <w:t>九、验收要求（双方确定以下列标准和方式对中标人的服务工作成果进行验收）：</w:t>
      </w:r>
      <w:r>
        <w:rPr>
          <w:rFonts w:hint="eastAsia" w:asciiTheme="majorEastAsia" w:hAnsiTheme="majorEastAsia" w:eastAsiaTheme="majorEastAsia" w:cstheme="majorEastAsia"/>
          <w:b w:val="0"/>
          <w:bCs/>
          <w:color w:val="auto"/>
          <w:sz w:val="24"/>
          <w:szCs w:val="24"/>
          <w:highlight w:val="none"/>
          <w:lang w:val="en-US" w:eastAsia="zh-CN"/>
        </w:rPr>
        <w:t>1.中标人完成服务工作的形式：按照采购人提供的项目进度计划提交工作成果报告。</w:t>
      </w:r>
    </w:p>
    <w:p w14:paraId="3C14C5DF">
      <w:pPr>
        <w:numPr>
          <w:ilvl w:val="0"/>
          <w:numId w:val="0"/>
        </w:numPr>
        <w:adjustRightInd w:val="0"/>
        <w:snapToGrid w:val="0"/>
        <w:spacing w:line="360" w:lineRule="auto"/>
        <w:ind w:leftChars="0"/>
        <w:jc w:val="left"/>
        <w:outlineLvl w:val="0"/>
        <w:rPr>
          <w:rFonts w:hint="eastAsia" w:asciiTheme="majorEastAsia" w:hAnsiTheme="majorEastAsia" w:eastAsiaTheme="majorEastAsia" w:cstheme="majorEastAsia"/>
          <w:b w:val="0"/>
          <w:bCs/>
          <w:color w:val="auto"/>
          <w:sz w:val="24"/>
          <w:szCs w:val="24"/>
          <w:highlight w:val="none"/>
          <w:lang w:val="en-US" w:eastAsia="zh-CN"/>
        </w:rPr>
      </w:pPr>
      <w:r>
        <w:rPr>
          <w:rFonts w:hint="eastAsia" w:asciiTheme="majorEastAsia" w:hAnsiTheme="majorEastAsia" w:eastAsiaTheme="majorEastAsia" w:cstheme="majorEastAsia"/>
          <w:b w:val="0"/>
          <w:bCs/>
          <w:color w:val="auto"/>
          <w:sz w:val="24"/>
          <w:szCs w:val="24"/>
          <w:highlight w:val="none"/>
          <w:lang w:val="en-US" w:eastAsia="zh-CN"/>
        </w:rPr>
        <w:t>2.服务工作成果的验收方法：采购人书面验收结题。</w:t>
      </w:r>
    </w:p>
    <w:p w14:paraId="5C850CF1">
      <w:pPr>
        <w:numPr>
          <w:ilvl w:val="0"/>
          <w:numId w:val="0"/>
        </w:numPr>
        <w:adjustRightInd w:val="0"/>
        <w:snapToGrid w:val="0"/>
        <w:spacing w:line="360" w:lineRule="auto"/>
        <w:ind w:leftChars="0"/>
        <w:jc w:val="left"/>
        <w:outlineLvl w:val="0"/>
        <w:rPr>
          <w:rFonts w:hint="eastAsia" w:asciiTheme="majorEastAsia" w:hAnsiTheme="majorEastAsia" w:eastAsiaTheme="majorEastAsia" w:cstheme="majorEastAsia"/>
          <w:b w:val="0"/>
          <w:bCs/>
          <w:color w:val="auto"/>
          <w:sz w:val="24"/>
          <w:szCs w:val="24"/>
          <w:highlight w:val="none"/>
          <w:lang w:val="en-US" w:eastAsia="zh-CN"/>
        </w:rPr>
      </w:pPr>
      <w:r>
        <w:rPr>
          <w:rFonts w:hint="eastAsia" w:asciiTheme="majorEastAsia" w:hAnsiTheme="majorEastAsia" w:eastAsiaTheme="majorEastAsia" w:cstheme="majorEastAsia"/>
          <w:b w:val="0"/>
          <w:bCs/>
          <w:color w:val="auto"/>
          <w:sz w:val="24"/>
          <w:szCs w:val="24"/>
          <w:highlight w:val="none"/>
          <w:lang w:val="en-US" w:eastAsia="zh-CN"/>
        </w:rPr>
        <w:t>3.验收的地点：广州市白云区教育系统各公办中小学。</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新宋体">
    <w:panose1 w:val="02010609030101010101"/>
    <w:charset w:val="86"/>
    <w:family w:val="auto"/>
    <w:pitch w:val="default"/>
    <w:sig w:usb0="00000203" w:usb1="288F0000" w:usb2="00000006" w:usb3="00000000" w:csb0="00040001" w:csb1="00000000"/>
  </w:font>
  <w:font w:name="Calibri Light">
    <w:panose1 w:val="020F0302020204030204"/>
    <w:charset w:val="00"/>
    <w:family w:val="auto"/>
    <w:pitch w:val="default"/>
    <w:sig w:usb0="E4002EFF" w:usb1="C2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AA69783"/>
    <w:multiLevelType w:val="singleLevel"/>
    <w:tmpl w:val="AAA69783"/>
    <w:lvl w:ilvl="0" w:tentative="0">
      <w:start w:val="1"/>
      <w:numFmt w:val="decimalEnclosedCircleChinese"/>
      <w:suff w:val="nothing"/>
      <w:lvlText w:val="%1　"/>
      <w:lvlJc w:val="left"/>
      <w:pPr>
        <w:ind w:left="0" w:firstLine="400"/>
      </w:pPr>
      <w:rPr>
        <w:rFonts w:hint="eastAsia"/>
      </w:rPr>
    </w:lvl>
  </w:abstractNum>
  <w:abstractNum w:abstractNumId="1">
    <w:nsid w:val="BDD5F6F5"/>
    <w:multiLevelType w:val="singleLevel"/>
    <w:tmpl w:val="BDD5F6F5"/>
    <w:lvl w:ilvl="0" w:tentative="0">
      <w:start w:val="1"/>
      <w:numFmt w:val="chineseCounting"/>
      <w:suff w:val="nothing"/>
      <w:lvlText w:val="（%1）"/>
      <w:lvlJc w:val="left"/>
      <w:rPr>
        <w:rFonts w:hint="eastAsia"/>
        <w:color w:val="auto"/>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JiOGM4Nzc2NWIyMzQxMmM0ZGUxNWYxYTk1ZjNiMmIifQ=="/>
  </w:docVars>
  <w:rsids>
    <w:rsidRoot w:val="2B442ACA"/>
    <w:rsid w:val="00A6267F"/>
    <w:rsid w:val="00C63951"/>
    <w:rsid w:val="01ED43B3"/>
    <w:rsid w:val="2B442ACA"/>
    <w:rsid w:val="38CD66BC"/>
    <w:rsid w:val="4B1455F8"/>
    <w:rsid w:val="5C747105"/>
    <w:rsid w:val="755B33C2"/>
    <w:rsid w:val="7A550DC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qFormat="1"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99"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11">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customStyle="1" w:styleId="2">
    <w:name w:val="_Style 3"/>
    <w:basedOn w:val="3"/>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3">
    <w:name w:val="正文_0"/>
    <w:next w:val="4"/>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4">
    <w:name w:val="正文文本_0"/>
    <w:basedOn w:val="3"/>
    <w:qFormat/>
    <w:uiPriority w:val="0"/>
    <w:pPr>
      <w:spacing w:after="120"/>
    </w:pPr>
    <w:rPr>
      <w:rFonts w:ascii="Calibri" w:hAnsi="Calibri"/>
    </w:rPr>
  </w:style>
  <w:style w:type="paragraph" w:styleId="5">
    <w:name w:val="Normal Indent"/>
    <w:basedOn w:val="1"/>
    <w:next w:val="6"/>
    <w:qFormat/>
    <w:uiPriority w:val="99"/>
    <w:pPr>
      <w:ind w:firstLine="420" w:firstLineChars="200"/>
    </w:pPr>
  </w:style>
  <w:style w:type="paragraph" w:styleId="6">
    <w:name w:val="toc 4"/>
    <w:basedOn w:val="1"/>
    <w:next w:val="1"/>
    <w:qFormat/>
    <w:uiPriority w:val="0"/>
    <w:pPr>
      <w:ind w:left="1260" w:leftChars="600"/>
    </w:pPr>
  </w:style>
  <w:style w:type="paragraph" w:styleId="7">
    <w:name w:val="Body Text"/>
    <w:basedOn w:val="1"/>
    <w:next w:val="8"/>
    <w:qFormat/>
    <w:uiPriority w:val="1"/>
    <w:rPr>
      <w:rFonts w:ascii="宋体" w:hAnsi="宋体" w:eastAsia="宋体" w:cs="宋体"/>
      <w:sz w:val="19"/>
      <w:szCs w:val="19"/>
      <w:lang w:val="zh-CN" w:bidi="zh-CN"/>
    </w:rPr>
  </w:style>
  <w:style w:type="paragraph" w:styleId="8">
    <w:name w:val="Body Text 2"/>
    <w:basedOn w:val="1"/>
    <w:qFormat/>
    <w:uiPriority w:val="0"/>
  </w:style>
  <w:style w:type="paragraph" w:styleId="9">
    <w:name w:val="footer"/>
    <w:basedOn w:val="1"/>
    <w:uiPriority w:val="0"/>
    <w:pPr>
      <w:tabs>
        <w:tab w:val="center" w:pos="4153"/>
        <w:tab w:val="right" w:pos="8306"/>
      </w:tabs>
      <w:snapToGrid w:val="0"/>
      <w:jc w:val="left"/>
    </w:pPr>
    <w:rPr>
      <w:sz w:val="18"/>
    </w:rPr>
  </w:style>
  <w:style w:type="paragraph" w:customStyle="1" w:styleId="12">
    <w:name w:val="样式4"/>
    <w:basedOn w:val="1"/>
    <w:qFormat/>
    <w:uiPriority w:val="0"/>
    <w:rPr>
      <w:rFonts w:ascii="Times New Roman" w:hAnsi="Times New Roman" w:eastAsia="宋体"/>
      <w:sz w:val="24"/>
    </w:rPr>
  </w:style>
  <w:style w:type="paragraph" w:customStyle="1" w:styleId="13">
    <w:name w:val="列出段落1"/>
    <w:basedOn w:val="1"/>
    <w:qFormat/>
    <w:uiPriority w:val="0"/>
    <w:pPr>
      <w:ind w:firstLine="420" w:firstLineChars="200"/>
    </w:pPr>
    <w:rPr>
      <w:rFonts w:ascii="Calibri" w:hAnsi="Calibri" w:eastAsia="宋体" w:cs="Times New Roman"/>
    </w:rPr>
  </w:style>
  <w:style w:type="paragraph" w:customStyle="1" w:styleId="14">
    <w:name w:val="null3"/>
    <w:qFormat/>
    <w:uiPriority w:val="0"/>
    <w:rPr>
      <w:rFonts w:hint="eastAsia" w:ascii="Calibri" w:hAnsi="Calibri" w:eastAsia="宋体" w:cs="Times New Roman"/>
      <w:lang w:val="en-US" w:eastAsia="zh-Hans"/>
    </w:rPr>
  </w:style>
  <w:style w:type="paragraph" w:customStyle="1" w:styleId="15">
    <w:name w:val="Table Paragraph"/>
    <w:basedOn w:val="1"/>
    <w:qFormat/>
    <w:uiPriority w:val="1"/>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6</Pages>
  <Words>4271</Words>
  <Characters>4381</Characters>
  <Lines>34</Lines>
  <Paragraphs>9</Paragraphs>
  <TotalTime>0</TotalTime>
  <ScaleCrop>false</ScaleCrop>
  <LinksUpToDate>false</LinksUpToDate>
  <CharactersWithSpaces>4384</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2024-10-17T07:05:00Z</dcterms:created>
  <dc:creator>国和</dc:creator>
  <cp:lastModifiedBy>(吖—1i.)</cp:lastModifiedBy>
  <dcterms:modified xsi:type="dcterms:W3CDTF">2025-04-25T04:04:05Z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6224CCEBDF824BCAAC15FB35E00FC986_11</vt:lpwstr>
  </property>
  <property fmtid="{D5CDD505-2E9C-101B-9397-08002B2CF9AE}" pid="4" name="KSOTemplateDocerSaveRecord">
    <vt:lpwstr>eyJoZGlkIjoiOTlkMzNkNDMxZmMxYzdjYWMyYTkwYzUwYzQxNjc0ZTkiLCJ1c2VySWQiOiIyNTMxMjkxNTQifQ==</vt:lpwstr>
  </property>
</Properties>
</file>