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EA016">
      <w:pPr>
        <w:jc w:val="left"/>
        <w:rPr>
          <w:rFonts w:hint="default" w:ascii="宋体" w:hAnsi="宋体" w:eastAsia="宋体"/>
          <w:b/>
          <w:sz w:val="28"/>
          <w:highlight w:val="none"/>
          <w:lang w:val="en-US" w:eastAsia="zh-CN"/>
        </w:rPr>
      </w:pPr>
      <w:r>
        <w:rPr>
          <w:rFonts w:hint="eastAsia" w:ascii="宋体" w:hAnsi="宋体" w:eastAsia="宋体"/>
          <w:b/>
          <w:sz w:val="28"/>
          <w:highlight w:val="none"/>
          <w:lang w:val="en-US" w:eastAsia="zh-CN"/>
        </w:rPr>
        <w:t>附件2：</w:t>
      </w:r>
    </w:p>
    <w:p w14:paraId="09FBBE64">
      <w:pPr>
        <w:jc w:val="center"/>
        <w:rPr>
          <w:rFonts w:hint="eastAsia" w:ascii="宋体" w:hAnsi="宋体" w:eastAsia="宋体"/>
          <w:b/>
          <w:sz w:val="28"/>
          <w:highlight w:val="none"/>
          <w:lang w:val="en-US" w:eastAsia="zh-CN"/>
        </w:rPr>
      </w:pPr>
      <w:r>
        <w:rPr>
          <w:rFonts w:hint="eastAsia" w:ascii="宋体" w:hAnsi="宋体" w:eastAsia="宋体"/>
          <w:b/>
          <w:sz w:val="28"/>
          <w:highlight w:val="none"/>
          <w:lang w:val="en-US" w:eastAsia="zh-CN"/>
        </w:rPr>
        <w:t>花都区2024-2025年度政府储备用地控制性详细规划调整项目</w:t>
      </w:r>
    </w:p>
    <w:p w14:paraId="1AC491E5">
      <w:pPr>
        <w:jc w:val="center"/>
        <w:rPr>
          <w:rFonts w:ascii="宋体" w:hAnsi="宋体" w:eastAsia="宋体"/>
          <w:b/>
          <w:sz w:val="28"/>
          <w:highlight w:val="none"/>
        </w:rPr>
      </w:pPr>
      <w:r>
        <w:rPr>
          <w:rFonts w:hint="eastAsia" w:ascii="宋体" w:hAnsi="宋体" w:eastAsia="宋体"/>
          <w:b/>
          <w:sz w:val="28"/>
          <w:highlight w:val="none"/>
        </w:rPr>
        <w:t>采购</w:t>
      </w:r>
      <w:r>
        <w:rPr>
          <w:rFonts w:ascii="宋体" w:hAnsi="宋体" w:eastAsia="宋体"/>
          <w:b/>
          <w:sz w:val="28"/>
          <w:highlight w:val="none"/>
        </w:rPr>
        <w:t>需求</w:t>
      </w:r>
      <w:r>
        <w:rPr>
          <w:rFonts w:hint="eastAsia" w:ascii="宋体" w:hAnsi="宋体" w:eastAsia="宋体"/>
          <w:b/>
          <w:sz w:val="28"/>
          <w:highlight w:val="none"/>
        </w:rPr>
        <w:t>问卷</w:t>
      </w:r>
      <w:r>
        <w:rPr>
          <w:rFonts w:ascii="宋体" w:hAnsi="宋体" w:eastAsia="宋体"/>
          <w:b/>
          <w:sz w:val="28"/>
          <w:highlight w:val="none"/>
        </w:rPr>
        <w:t>调查表</w:t>
      </w:r>
    </w:p>
    <w:p w14:paraId="1662B9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lang w:eastAsia="zh-CN"/>
        </w:rPr>
        <w:t>一、</w:t>
      </w:r>
      <w:r>
        <w:rPr>
          <w:rFonts w:hint="eastAsia" w:ascii="宋体" w:hAnsi="宋体" w:eastAsia="宋体" w:cs="宋体"/>
          <w:b/>
          <w:color w:val="auto"/>
          <w:sz w:val="24"/>
          <w:highlight w:val="none"/>
        </w:rPr>
        <w:t>接受需求调查的市场主体基本情况</w:t>
      </w:r>
    </w:p>
    <w:tbl>
      <w:tblPr>
        <w:tblStyle w:val="14"/>
        <w:tblW w:w="9099" w:type="dxa"/>
        <w:jc w:val="center"/>
        <w:tblLayout w:type="fixed"/>
        <w:tblCellMar>
          <w:top w:w="0" w:type="dxa"/>
          <w:left w:w="0" w:type="dxa"/>
          <w:bottom w:w="0" w:type="dxa"/>
          <w:right w:w="0" w:type="dxa"/>
        </w:tblCellMar>
      </w:tblPr>
      <w:tblGrid>
        <w:gridCol w:w="2469"/>
        <w:gridCol w:w="971"/>
        <w:gridCol w:w="2427"/>
        <w:gridCol w:w="1205"/>
        <w:gridCol w:w="2027"/>
      </w:tblGrid>
      <w:tr w14:paraId="6200C25F">
        <w:tblPrEx>
          <w:tblCellMar>
            <w:top w:w="0" w:type="dxa"/>
            <w:left w:w="0" w:type="dxa"/>
            <w:bottom w:w="0" w:type="dxa"/>
            <w:right w:w="0" w:type="dxa"/>
          </w:tblCellMar>
        </w:tblPrEx>
        <w:trPr>
          <w:trHeight w:val="740"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7FA0E245">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单位名称</w:t>
            </w:r>
          </w:p>
        </w:tc>
        <w:tc>
          <w:tcPr>
            <w:tcW w:w="6630" w:type="dxa"/>
            <w:gridSpan w:val="4"/>
            <w:tcBorders>
              <w:top w:val="single" w:color="000000" w:sz="4" w:space="0"/>
              <w:left w:val="single" w:color="000000" w:sz="4" w:space="0"/>
              <w:bottom w:val="single" w:color="000000" w:sz="4" w:space="0"/>
              <w:right w:val="single" w:color="000000" w:sz="4" w:space="0"/>
            </w:tcBorders>
            <w:vAlign w:val="center"/>
          </w:tcPr>
          <w:p w14:paraId="7D396127">
            <w:pPr>
              <w:jc w:val="center"/>
              <w:rPr>
                <w:rFonts w:ascii="宋体" w:hAnsi="宋体" w:eastAsia="宋体"/>
                <w:i/>
                <w:color w:val="auto"/>
                <w:szCs w:val="21"/>
                <w:highlight w:val="none"/>
              </w:rPr>
            </w:pPr>
          </w:p>
        </w:tc>
      </w:tr>
      <w:tr w14:paraId="1A957826">
        <w:tblPrEx>
          <w:tblCellMar>
            <w:top w:w="0" w:type="dxa"/>
            <w:left w:w="0" w:type="dxa"/>
            <w:bottom w:w="0" w:type="dxa"/>
            <w:right w:w="0" w:type="dxa"/>
          </w:tblCellMar>
        </w:tblPrEx>
        <w:trPr>
          <w:trHeight w:val="740"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10103A57">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注册资金</w:t>
            </w:r>
          </w:p>
        </w:tc>
        <w:tc>
          <w:tcPr>
            <w:tcW w:w="3398" w:type="dxa"/>
            <w:gridSpan w:val="2"/>
            <w:tcBorders>
              <w:top w:val="single" w:color="000000" w:sz="4" w:space="0"/>
              <w:left w:val="single" w:color="000000" w:sz="4" w:space="0"/>
              <w:bottom w:val="single" w:color="000000" w:sz="4" w:space="0"/>
              <w:right w:val="single" w:color="000000" w:sz="4" w:space="0"/>
            </w:tcBorders>
            <w:vAlign w:val="center"/>
          </w:tcPr>
          <w:p w14:paraId="2F18DBF0">
            <w:pPr>
              <w:jc w:val="center"/>
              <w:rPr>
                <w:rFonts w:ascii="宋体" w:hAnsi="宋体" w:eastAsia="宋体"/>
                <w:color w:val="auto"/>
                <w:szCs w:val="21"/>
                <w:highlight w:val="none"/>
              </w:rPr>
            </w:pPr>
            <w:r>
              <w:rPr>
                <w:rFonts w:hint="eastAsia" w:ascii="宋体" w:hAnsi="宋体" w:eastAsia="宋体" w:cs="仿宋"/>
                <w:color w:val="auto"/>
                <w:sz w:val="24"/>
                <w:szCs w:val="24"/>
              </w:rPr>
              <w:t xml:space="preserve">万元 </w:t>
            </w:r>
          </w:p>
        </w:tc>
        <w:tc>
          <w:tcPr>
            <w:tcW w:w="1205" w:type="dxa"/>
            <w:tcBorders>
              <w:top w:val="single" w:color="000000" w:sz="4" w:space="0"/>
              <w:left w:val="single" w:color="000000" w:sz="4" w:space="0"/>
              <w:bottom w:val="single" w:color="000000" w:sz="4" w:space="0"/>
              <w:right w:val="single" w:color="000000" w:sz="4" w:space="0"/>
            </w:tcBorders>
            <w:vAlign w:val="center"/>
          </w:tcPr>
          <w:p w14:paraId="1E6D50C4">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成立时间</w:t>
            </w:r>
          </w:p>
        </w:tc>
        <w:tc>
          <w:tcPr>
            <w:tcW w:w="2027" w:type="dxa"/>
            <w:tcBorders>
              <w:top w:val="single" w:color="000000" w:sz="4" w:space="0"/>
              <w:left w:val="single" w:color="000000" w:sz="4" w:space="0"/>
              <w:bottom w:val="single" w:color="000000" w:sz="4" w:space="0"/>
              <w:right w:val="single" w:color="000000" w:sz="4" w:space="0"/>
            </w:tcBorders>
            <w:vAlign w:val="center"/>
          </w:tcPr>
          <w:p w14:paraId="334E82DA">
            <w:pPr>
              <w:jc w:val="center"/>
              <w:rPr>
                <w:rFonts w:ascii="宋体" w:hAnsi="宋体" w:eastAsia="宋体"/>
                <w:color w:val="auto"/>
                <w:szCs w:val="21"/>
                <w:highlight w:val="none"/>
              </w:rPr>
            </w:pPr>
            <w:r>
              <w:rPr>
                <w:rFonts w:hint="eastAsia" w:ascii="宋体" w:hAnsi="宋体" w:eastAsia="宋体" w:cs="仿宋"/>
                <w:color w:val="auto"/>
                <w:sz w:val="24"/>
                <w:szCs w:val="24"/>
              </w:rPr>
              <w:t>年</w:t>
            </w:r>
            <w:r>
              <w:rPr>
                <w:rFonts w:ascii="宋体" w:hAnsi="宋体" w:eastAsia="宋体" w:cs="仿宋"/>
                <w:color w:val="auto"/>
                <w:sz w:val="24"/>
                <w:szCs w:val="24"/>
              </w:rPr>
              <w:t xml:space="preserve">   </w:t>
            </w:r>
            <w:r>
              <w:rPr>
                <w:rFonts w:hint="eastAsia" w:ascii="宋体" w:hAnsi="宋体" w:eastAsia="宋体" w:cs="仿宋"/>
                <w:color w:val="auto"/>
                <w:sz w:val="24"/>
                <w:szCs w:val="24"/>
              </w:rPr>
              <w:t>月</w:t>
            </w:r>
            <w:r>
              <w:rPr>
                <w:rFonts w:ascii="宋体" w:hAnsi="宋体" w:eastAsia="宋体" w:cs="仿宋"/>
                <w:color w:val="auto"/>
                <w:sz w:val="24"/>
                <w:szCs w:val="24"/>
              </w:rPr>
              <w:t xml:space="preserve">  </w:t>
            </w:r>
            <w:r>
              <w:rPr>
                <w:rFonts w:hint="eastAsia" w:ascii="宋体" w:hAnsi="宋体" w:eastAsia="宋体" w:cs="仿宋"/>
                <w:color w:val="auto"/>
                <w:sz w:val="24"/>
                <w:szCs w:val="24"/>
              </w:rPr>
              <w:t>日</w:t>
            </w:r>
          </w:p>
        </w:tc>
      </w:tr>
      <w:tr w14:paraId="5C94C8D6">
        <w:tblPrEx>
          <w:tblCellMar>
            <w:top w:w="0" w:type="dxa"/>
            <w:left w:w="0" w:type="dxa"/>
            <w:bottom w:w="0" w:type="dxa"/>
            <w:right w:w="0" w:type="dxa"/>
          </w:tblCellMar>
        </w:tblPrEx>
        <w:trPr>
          <w:trHeight w:val="740"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3E031723">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注册地址</w:t>
            </w:r>
          </w:p>
        </w:tc>
        <w:tc>
          <w:tcPr>
            <w:tcW w:w="6630" w:type="dxa"/>
            <w:gridSpan w:val="4"/>
            <w:tcBorders>
              <w:top w:val="single" w:color="000000" w:sz="4" w:space="0"/>
              <w:left w:val="single" w:color="000000" w:sz="4" w:space="0"/>
              <w:bottom w:val="single" w:color="000000" w:sz="4" w:space="0"/>
              <w:right w:val="single" w:color="000000" w:sz="4" w:space="0"/>
            </w:tcBorders>
            <w:vAlign w:val="center"/>
          </w:tcPr>
          <w:p w14:paraId="22C2195F">
            <w:pPr>
              <w:jc w:val="center"/>
              <w:rPr>
                <w:rFonts w:ascii="宋体" w:hAnsi="宋体" w:eastAsia="宋体"/>
                <w:color w:val="auto"/>
                <w:szCs w:val="21"/>
                <w:highlight w:val="none"/>
              </w:rPr>
            </w:pPr>
          </w:p>
        </w:tc>
      </w:tr>
      <w:tr w14:paraId="339B0817">
        <w:tblPrEx>
          <w:tblCellMar>
            <w:top w:w="0" w:type="dxa"/>
            <w:left w:w="0" w:type="dxa"/>
            <w:bottom w:w="0" w:type="dxa"/>
            <w:right w:w="0" w:type="dxa"/>
          </w:tblCellMar>
        </w:tblPrEx>
        <w:trPr>
          <w:trHeight w:val="740"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21E6A64E">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邮政编码</w:t>
            </w:r>
          </w:p>
        </w:tc>
        <w:tc>
          <w:tcPr>
            <w:tcW w:w="3398" w:type="dxa"/>
            <w:gridSpan w:val="2"/>
            <w:tcBorders>
              <w:top w:val="single" w:color="000000" w:sz="4" w:space="0"/>
              <w:left w:val="single" w:color="000000" w:sz="4" w:space="0"/>
              <w:bottom w:val="single" w:color="000000" w:sz="4" w:space="0"/>
              <w:right w:val="single" w:color="000000" w:sz="4" w:space="0"/>
            </w:tcBorders>
            <w:vAlign w:val="center"/>
          </w:tcPr>
          <w:p w14:paraId="2B132DA9">
            <w:pPr>
              <w:jc w:val="center"/>
              <w:rPr>
                <w:rFonts w:ascii="宋体" w:hAnsi="宋体" w:eastAsia="宋体"/>
                <w:color w:val="auto"/>
                <w:szCs w:val="21"/>
                <w:highlight w:val="none"/>
              </w:rPr>
            </w:pPr>
          </w:p>
        </w:tc>
        <w:tc>
          <w:tcPr>
            <w:tcW w:w="1205" w:type="dxa"/>
            <w:tcBorders>
              <w:top w:val="single" w:color="000000" w:sz="4" w:space="0"/>
              <w:left w:val="single" w:color="000000" w:sz="4" w:space="0"/>
              <w:bottom w:val="single" w:color="000000" w:sz="4" w:space="0"/>
              <w:right w:val="single" w:color="000000" w:sz="4" w:space="0"/>
            </w:tcBorders>
            <w:vAlign w:val="center"/>
          </w:tcPr>
          <w:p w14:paraId="2DFE27D7">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员工总数</w:t>
            </w:r>
          </w:p>
        </w:tc>
        <w:tc>
          <w:tcPr>
            <w:tcW w:w="2027" w:type="dxa"/>
            <w:tcBorders>
              <w:top w:val="single" w:color="000000" w:sz="4" w:space="0"/>
              <w:left w:val="single" w:color="000000" w:sz="4" w:space="0"/>
              <w:bottom w:val="single" w:color="000000" w:sz="4" w:space="0"/>
              <w:right w:val="single" w:color="000000" w:sz="4" w:space="0"/>
            </w:tcBorders>
            <w:vAlign w:val="center"/>
          </w:tcPr>
          <w:p w14:paraId="4ADB381B">
            <w:pPr>
              <w:jc w:val="center"/>
              <w:rPr>
                <w:rFonts w:ascii="宋体" w:hAnsi="宋体" w:eastAsia="宋体"/>
                <w:color w:val="auto"/>
                <w:szCs w:val="21"/>
                <w:highlight w:val="none"/>
              </w:rPr>
            </w:pPr>
          </w:p>
        </w:tc>
      </w:tr>
      <w:tr w14:paraId="4C853DF6">
        <w:tblPrEx>
          <w:tblCellMar>
            <w:top w:w="0" w:type="dxa"/>
            <w:left w:w="0" w:type="dxa"/>
            <w:bottom w:w="0" w:type="dxa"/>
            <w:right w:w="0" w:type="dxa"/>
          </w:tblCellMar>
        </w:tblPrEx>
        <w:trPr>
          <w:trHeight w:val="740" w:hRule="atLeast"/>
          <w:jc w:val="center"/>
        </w:trPr>
        <w:tc>
          <w:tcPr>
            <w:tcW w:w="2469" w:type="dxa"/>
            <w:vMerge w:val="restart"/>
            <w:tcBorders>
              <w:top w:val="single" w:color="000000" w:sz="4" w:space="0"/>
              <w:left w:val="single" w:color="000000" w:sz="4" w:space="0"/>
              <w:bottom w:val="single" w:color="000000" w:sz="4" w:space="0"/>
              <w:right w:val="single" w:color="000000" w:sz="4" w:space="0"/>
            </w:tcBorders>
            <w:vAlign w:val="center"/>
          </w:tcPr>
          <w:p w14:paraId="570AA7C6">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联系方式</w:t>
            </w:r>
          </w:p>
        </w:tc>
        <w:tc>
          <w:tcPr>
            <w:tcW w:w="971" w:type="dxa"/>
            <w:tcBorders>
              <w:top w:val="single" w:color="000000" w:sz="4" w:space="0"/>
              <w:left w:val="single" w:color="000000" w:sz="4" w:space="0"/>
              <w:bottom w:val="single" w:color="000000" w:sz="4" w:space="0"/>
              <w:right w:val="single" w:color="000000" w:sz="4" w:space="0"/>
            </w:tcBorders>
            <w:vAlign w:val="center"/>
          </w:tcPr>
          <w:p w14:paraId="268FAAB3">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联系人</w:t>
            </w:r>
          </w:p>
        </w:tc>
        <w:tc>
          <w:tcPr>
            <w:tcW w:w="2427" w:type="dxa"/>
            <w:tcBorders>
              <w:top w:val="single" w:color="000000" w:sz="4" w:space="0"/>
              <w:left w:val="single" w:color="000000" w:sz="4" w:space="0"/>
              <w:bottom w:val="single" w:color="000000" w:sz="4" w:space="0"/>
              <w:right w:val="single" w:color="000000" w:sz="4" w:space="0"/>
            </w:tcBorders>
            <w:vAlign w:val="center"/>
          </w:tcPr>
          <w:p w14:paraId="7C4AD75A">
            <w:pPr>
              <w:jc w:val="center"/>
              <w:rPr>
                <w:rFonts w:ascii="宋体" w:hAnsi="宋体" w:eastAsia="宋体"/>
                <w:color w:val="auto"/>
                <w:szCs w:val="21"/>
                <w:highlight w:val="none"/>
              </w:rPr>
            </w:pPr>
          </w:p>
        </w:tc>
        <w:tc>
          <w:tcPr>
            <w:tcW w:w="1205" w:type="dxa"/>
            <w:tcBorders>
              <w:top w:val="single" w:color="000000" w:sz="4" w:space="0"/>
              <w:left w:val="single" w:color="000000" w:sz="4" w:space="0"/>
              <w:bottom w:val="single" w:color="000000" w:sz="4" w:space="0"/>
              <w:right w:val="single" w:color="000000" w:sz="4" w:space="0"/>
            </w:tcBorders>
            <w:vAlign w:val="center"/>
          </w:tcPr>
          <w:p w14:paraId="653E18C9">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电话</w:t>
            </w:r>
          </w:p>
        </w:tc>
        <w:tc>
          <w:tcPr>
            <w:tcW w:w="2027" w:type="dxa"/>
            <w:tcBorders>
              <w:top w:val="single" w:color="000000" w:sz="4" w:space="0"/>
              <w:left w:val="single" w:color="000000" w:sz="4" w:space="0"/>
              <w:bottom w:val="single" w:color="000000" w:sz="4" w:space="0"/>
              <w:right w:val="single" w:color="000000" w:sz="4" w:space="0"/>
            </w:tcBorders>
            <w:vAlign w:val="center"/>
          </w:tcPr>
          <w:p w14:paraId="5A51A292">
            <w:pPr>
              <w:jc w:val="center"/>
              <w:rPr>
                <w:rFonts w:ascii="宋体" w:hAnsi="宋体" w:eastAsia="宋体"/>
                <w:color w:val="auto"/>
                <w:szCs w:val="21"/>
                <w:highlight w:val="none"/>
              </w:rPr>
            </w:pPr>
          </w:p>
        </w:tc>
      </w:tr>
      <w:tr w14:paraId="43A8C385">
        <w:tblPrEx>
          <w:tblCellMar>
            <w:top w:w="0" w:type="dxa"/>
            <w:left w:w="0" w:type="dxa"/>
            <w:bottom w:w="0" w:type="dxa"/>
            <w:right w:w="0" w:type="dxa"/>
          </w:tblCellMar>
        </w:tblPrEx>
        <w:trPr>
          <w:trHeight w:val="741" w:hRule="atLeast"/>
          <w:jc w:val="center"/>
        </w:trPr>
        <w:tc>
          <w:tcPr>
            <w:tcW w:w="2469" w:type="dxa"/>
            <w:vMerge w:val="continue"/>
            <w:tcBorders>
              <w:top w:val="single" w:color="000000" w:sz="4" w:space="0"/>
              <w:left w:val="single" w:color="000000" w:sz="4" w:space="0"/>
              <w:bottom w:val="single" w:color="000000" w:sz="4" w:space="0"/>
              <w:right w:val="single" w:color="000000" w:sz="4" w:space="0"/>
            </w:tcBorders>
            <w:vAlign w:val="center"/>
          </w:tcPr>
          <w:p w14:paraId="0CBC33EA">
            <w:pPr>
              <w:jc w:val="center"/>
              <w:rPr>
                <w:rFonts w:ascii="宋体" w:hAnsi="宋体" w:eastAsia="宋体"/>
                <w:color w:val="auto"/>
                <w:szCs w:val="21"/>
                <w:highlight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690B5C7A">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网址</w:t>
            </w:r>
          </w:p>
        </w:tc>
        <w:tc>
          <w:tcPr>
            <w:tcW w:w="2427" w:type="dxa"/>
            <w:tcBorders>
              <w:top w:val="single" w:color="000000" w:sz="4" w:space="0"/>
              <w:left w:val="single" w:color="000000" w:sz="4" w:space="0"/>
              <w:bottom w:val="single" w:color="000000" w:sz="4" w:space="0"/>
              <w:right w:val="single" w:color="000000" w:sz="4" w:space="0"/>
            </w:tcBorders>
            <w:vAlign w:val="center"/>
          </w:tcPr>
          <w:p w14:paraId="729D011E">
            <w:pPr>
              <w:jc w:val="center"/>
              <w:rPr>
                <w:rFonts w:ascii="宋体" w:hAnsi="宋体" w:eastAsia="宋体"/>
                <w:color w:val="auto"/>
                <w:szCs w:val="21"/>
                <w:highlight w:val="none"/>
              </w:rPr>
            </w:pPr>
          </w:p>
        </w:tc>
        <w:tc>
          <w:tcPr>
            <w:tcW w:w="1205" w:type="dxa"/>
            <w:tcBorders>
              <w:top w:val="single" w:color="000000" w:sz="4" w:space="0"/>
              <w:left w:val="single" w:color="000000" w:sz="4" w:space="0"/>
              <w:bottom w:val="single" w:color="000000" w:sz="4" w:space="0"/>
              <w:right w:val="single" w:color="000000" w:sz="4" w:space="0"/>
            </w:tcBorders>
            <w:vAlign w:val="center"/>
          </w:tcPr>
          <w:p w14:paraId="1EC454A0">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ascii="宋体" w:hAnsi="宋体" w:eastAsia="宋体" w:cs="仿宋"/>
                <w:color w:val="auto"/>
              </w:rPr>
              <w:t>传真/邮箱</w:t>
            </w:r>
          </w:p>
        </w:tc>
        <w:tc>
          <w:tcPr>
            <w:tcW w:w="2027" w:type="dxa"/>
            <w:tcBorders>
              <w:top w:val="single" w:color="000000" w:sz="4" w:space="0"/>
              <w:left w:val="single" w:color="000000" w:sz="4" w:space="0"/>
              <w:bottom w:val="single" w:color="000000" w:sz="4" w:space="0"/>
              <w:right w:val="single" w:color="000000" w:sz="4" w:space="0"/>
            </w:tcBorders>
            <w:vAlign w:val="center"/>
          </w:tcPr>
          <w:p w14:paraId="3876441B">
            <w:pPr>
              <w:jc w:val="center"/>
              <w:rPr>
                <w:rFonts w:ascii="宋体" w:hAnsi="宋体" w:eastAsia="宋体"/>
                <w:color w:val="auto"/>
                <w:szCs w:val="21"/>
                <w:highlight w:val="none"/>
              </w:rPr>
            </w:pPr>
          </w:p>
        </w:tc>
      </w:tr>
      <w:tr w14:paraId="4902B7FC">
        <w:tblPrEx>
          <w:tblCellMar>
            <w:top w:w="0" w:type="dxa"/>
            <w:left w:w="0" w:type="dxa"/>
            <w:bottom w:w="0" w:type="dxa"/>
            <w:right w:w="0" w:type="dxa"/>
          </w:tblCellMar>
        </w:tblPrEx>
        <w:trPr>
          <w:trHeight w:val="1012"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68F1BE3D">
            <w:pPr>
              <w:pStyle w:val="19"/>
              <w:kinsoku w:val="0"/>
              <w:overflowPunct w:val="0"/>
              <w:spacing w:line="240" w:lineRule="auto"/>
              <w:ind w:firstLine="0" w:firstLineChars="0"/>
              <w:jc w:val="center"/>
              <w:rPr>
                <w:rFonts w:hAnsi="宋体"/>
                <w:color w:val="auto"/>
                <w:sz w:val="21"/>
                <w:szCs w:val="21"/>
                <w:highlight w:val="none"/>
              </w:rPr>
            </w:pPr>
            <w:r>
              <w:rPr>
                <w:rFonts w:hint="eastAsia" w:hAnsi="宋体"/>
                <w:color w:val="auto"/>
                <w:sz w:val="21"/>
                <w:szCs w:val="21"/>
                <w:highlight w:val="none"/>
              </w:rPr>
              <w:t>法定代表人</w:t>
            </w:r>
          </w:p>
          <w:p w14:paraId="3F37863B">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（单位负责人）</w:t>
            </w:r>
          </w:p>
        </w:tc>
        <w:tc>
          <w:tcPr>
            <w:tcW w:w="971" w:type="dxa"/>
            <w:tcBorders>
              <w:top w:val="single" w:color="000000" w:sz="4" w:space="0"/>
              <w:left w:val="single" w:color="000000" w:sz="4" w:space="0"/>
              <w:bottom w:val="single" w:color="000000" w:sz="4" w:space="0"/>
              <w:right w:val="single" w:color="000000" w:sz="4" w:space="0"/>
            </w:tcBorders>
            <w:vAlign w:val="center"/>
          </w:tcPr>
          <w:p w14:paraId="75529F7C">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姓名</w:t>
            </w:r>
          </w:p>
        </w:tc>
        <w:tc>
          <w:tcPr>
            <w:tcW w:w="2427" w:type="dxa"/>
            <w:tcBorders>
              <w:top w:val="single" w:color="000000" w:sz="4" w:space="0"/>
              <w:left w:val="single" w:color="000000" w:sz="4" w:space="0"/>
              <w:bottom w:val="single" w:color="000000" w:sz="4" w:space="0"/>
              <w:right w:val="single" w:color="000000" w:sz="4" w:space="0"/>
            </w:tcBorders>
            <w:vAlign w:val="center"/>
          </w:tcPr>
          <w:p w14:paraId="1F7FDF02">
            <w:pPr>
              <w:jc w:val="center"/>
              <w:rPr>
                <w:rFonts w:ascii="宋体" w:hAnsi="宋体" w:eastAsia="宋体"/>
                <w:color w:val="auto"/>
                <w:szCs w:val="21"/>
                <w:highlight w:val="none"/>
              </w:rPr>
            </w:pPr>
          </w:p>
        </w:tc>
        <w:tc>
          <w:tcPr>
            <w:tcW w:w="1205" w:type="dxa"/>
            <w:tcBorders>
              <w:top w:val="single" w:color="000000" w:sz="4" w:space="0"/>
              <w:left w:val="single" w:color="000000" w:sz="4" w:space="0"/>
              <w:bottom w:val="single" w:color="000000" w:sz="4" w:space="0"/>
              <w:right w:val="single" w:color="000000" w:sz="4" w:space="0"/>
            </w:tcBorders>
            <w:vAlign w:val="center"/>
          </w:tcPr>
          <w:p w14:paraId="6CDBE069">
            <w:pPr>
              <w:pStyle w:val="19"/>
              <w:kinsoku w:val="0"/>
              <w:overflowPunct w:val="0"/>
              <w:spacing w:line="240" w:lineRule="auto"/>
              <w:ind w:firstLine="0" w:firstLineChars="0"/>
              <w:jc w:val="center"/>
              <w:rPr>
                <w:rFonts w:hAnsi="宋体" w:cs="Times New Roman"/>
                <w:color w:val="auto"/>
                <w:sz w:val="21"/>
                <w:szCs w:val="21"/>
                <w:highlight w:val="none"/>
              </w:rPr>
            </w:pPr>
            <w:r>
              <w:rPr>
                <w:rFonts w:hint="eastAsia" w:hAnsi="宋体"/>
                <w:color w:val="auto"/>
                <w:sz w:val="21"/>
                <w:szCs w:val="21"/>
                <w:highlight w:val="none"/>
              </w:rPr>
              <w:t>电话</w:t>
            </w:r>
          </w:p>
        </w:tc>
        <w:tc>
          <w:tcPr>
            <w:tcW w:w="2027" w:type="dxa"/>
            <w:tcBorders>
              <w:top w:val="single" w:color="000000" w:sz="4" w:space="0"/>
              <w:left w:val="single" w:color="000000" w:sz="4" w:space="0"/>
              <w:bottom w:val="single" w:color="000000" w:sz="4" w:space="0"/>
              <w:right w:val="single" w:color="000000" w:sz="4" w:space="0"/>
            </w:tcBorders>
            <w:vAlign w:val="center"/>
          </w:tcPr>
          <w:p w14:paraId="5CD6E42A">
            <w:pPr>
              <w:jc w:val="center"/>
              <w:rPr>
                <w:rFonts w:ascii="宋体" w:hAnsi="宋体" w:eastAsia="宋体"/>
                <w:color w:val="auto"/>
                <w:szCs w:val="21"/>
                <w:highlight w:val="none"/>
              </w:rPr>
            </w:pPr>
          </w:p>
        </w:tc>
      </w:tr>
      <w:tr w14:paraId="0534FC73">
        <w:tblPrEx>
          <w:tblCellMar>
            <w:top w:w="0" w:type="dxa"/>
            <w:left w:w="0" w:type="dxa"/>
            <w:bottom w:w="0" w:type="dxa"/>
            <w:right w:w="0" w:type="dxa"/>
          </w:tblCellMar>
        </w:tblPrEx>
        <w:trPr>
          <w:trHeight w:val="1994" w:hRule="atLeast"/>
          <w:jc w:val="center"/>
        </w:trPr>
        <w:tc>
          <w:tcPr>
            <w:tcW w:w="2469" w:type="dxa"/>
            <w:tcBorders>
              <w:top w:val="single" w:color="000000" w:sz="4" w:space="0"/>
              <w:left w:val="single" w:color="000000" w:sz="4" w:space="0"/>
              <w:bottom w:val="single" w:color="000000" w:sz="4" w:space="0"/>
              <w:right w:val="single" w:color="000000" w:sz="4" w:space="0"/>
            </w:tcBorders>
            <w:vAlign w:val="center"/>
          </w:tcPr>
          <w:p w14:paraId="498BC2EC">
            <w:pPr>
              <w:pStyle w:val="19"/>
              <w:kinsoku w:val="0"/>
              <w:overflowPunct w:val="0"/>
              <w:spacing w:line="240" w:lineRule="auto"/>
              <w:ind w:firstLine="0" w:firstLineChars="0"/>
              <w:jc w:val="center"/>
              <w:rPr>
                <w:rFonts w:hAnsi="宋体"/>
                <w:color w:val="auto"/>
                <w:sz w:val="21"/>
                <w:szCs w:val="21"/>
                <w:highlight w:val="none"/>
              </w:rPr>
            </w:pPr>
            <w:r>
              <w:rPr>
                <w:rFonts w:hint="eastAsia" w:hAnsi="宋体"/>
                <w:color w:val="auto"/>
                <w:sz w:val="21"/>
                <w:szCs w:val="21"/>
                <w:highlight w:val="none"/>
              </w:rPr>
              <w:t>是否属于中小微企业（根据本项目采购标的对应的中小企业划分标准所属行业）</w:t>
            </w:r>
          </w:p>
        </w:tc>
        <w:tc>
          <w:tcPr>
            <w:tcW w:w="6630" w:type="dxa"/>
            <w:gridSpan w:val="4"/>
            <w:tcBorders>
              <w:top w:val="single" w:color="000000" w:sz="4" w:space="0"/>
              <w:left w:val="single" w:color="000000" w:sz="4" w:space="0"/>
              <w:bottom w:val="single" w:color="000000" w:sz="4" w:space="0"/>
              <w:right w:val="single" w:color="000000" w:sz="4" w:space="0"/>
            </w:tcBorders>
            <w:vAlign w:val="center"/>
          </w:tcPr>
          <w:p w14:paraId="549CF824">
            <w:pPr>
              <w:pStyle w:val="19"/>
              <w:kinsoku w:val="0"/>
              <w:overflowPunct w:val="0"/>
              <w:spacing w:line="240" w:lineRule="auto"/>
              <w:ind w:firstLine="0" w:firstLineChars="0"/>
              <w:jc w:val="center"/>
              <w:rPr>
                <w:rFonts w:hint="eastAsia" w:hAnsi="宋体" w:eastAsia="宋体"/>
                <w:i w:val="0"/>
                <w:iCs/>
                <w:color w:val="auto"/>
                <w:sz w:val="21"/>
                <w:szCs w:val="21"/>
                <w:highlight w:val="none"/>
                <w:lang w:eastAsia="zh-CN"/>
              </w:rPr>
            </w:pPr>
          </w:p>
        </w:tc>
      </w:tr>
    </w:tbl>
    <w:p w14:paraId="0A18D792">
      <w:pPr>
        <w:pStyle w:val="19"/>
        <w:keepNext w:val="0"/>
        <w:keepLines w:val="0"/>
        <w:pageBreakBefore w:val="0"/>
        <w:widowControl w:val="0"/>
        <w:kinsoku w:val="0"/>
        <w:wordWrap/>
        <w:overflowPunct w:val="0"/>
        <w:topLinePunct w:val="0"/>
        <w:bidi w:val="0"/>
        <w:snapToGrid/>
        <w:spacing w:line="360" w:lineRule="auto"/>
        <w:ind w:firstLine="0" w:firstLineChars="0"/>
        <w:jc w:val="left"/>
        <w:textAlignment w:val="auto"/>
        <w:rPr>
          <w:rFonts w:hAnsi="宋体"/>
          <w:color w:val="auto"/>
          <w:sz w:val="21"/>
          <w:szCs w:val="21"/>
          <w:highlight w:val="none"/>
        </w:rPr>
      </w:pPr>
      <w:r>
        <w:rPr>
          <w:rFonts w:hint="eastAsia" w:hAnsi="宋体"/>
          <w:color w:val="auto"/>
          <w:sz w:val="21"/>
          <w:szCs w:val="21"/>
          <w:highlight w:val="none"/>
        </w:rPr>
        <w:t>（注</w:t>
      </w:r>
      <w:r>
        <w:rPr>
          <w:rFonts w:hAnsi="宋体"/>
          <w:color w:val="auto"/>
          <w:sz w:val="21"/>
          <w:szCs w:val="21"/>
          <w:highlight w:val="none"/>
        </w:rPr>
        <w:t>：</w:t>
      </w:r>
      <w:r>
        <w:rPr>
          <w:rFonts w:hint="eastAsia" w:hAnsi="宋体"/>
          <w:color w:val="auto"/>
          <w:sz w:val="21"/>
          <w:szCs w:val="21"/>
          <w:highlight w:val="none"/>
        </w:rPr>
        <w:t>供应商</w:t>
      </w:r>
      <w:r>
        <w:rPr>
          <w:rFonts w:hAnsi="宋体"/>
          <w:color w:val="auto"/>
          <w:sz w:val="21"/>
          <w:szCs w:val="21"/>
          <w:highlight w:val="none"/>
        </w:rPr>
        <w:t>可根据实际情况选填，也可以在此基础上外延增加内</w:t>
      </w:r>
      <w:r>
        <w:rPr>
          <w:rFonts w:hint="eastAsia" w:hAnsi="宋体"/>
          <w:color w:val="auto"/>
          <w:sz w:val="21"/>
          <w:szCs w:val="21"/>
          <w:highlight w:val="none"/>
        </w:rPr>
        <w:t>容）</w:t>
      </w:r>
    </w:p>
    <w:p w14:paraId="3AADF74F">
      <w:pP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eastAsia="zh-CN"/>
        </w:rPr>
        <w:br w:type="page"/>
      </w:r>
    </w:p>
    <w:p w14:paraId="1EFE2113">
      <w:pPr>
        <w:keepNext w:val="0"/>
        <w:keepLines w:val="0"/>
        <w:pageBreakBefore w:val="0"/>
        <w:widowControl w:val="0"/>
        <w:numPr>
          <w:ilvl w:val="0"/>
          <w:numId w:val="0"/>
        </w:numPr>
        <w:wordWrap/>
        <w:topLinePunct w:val="0"/>
        <w:bidi w:val="0"/>
        <w:snapToGrid/>
        <w:spacing w:line="360" w:lineRule="auto"/>
        <w:ind w:leftChars="0"/>
        <w:textAlignment w:val="auto"/>
        <w:rPr>
          <w:rFonts w:ascii="宋体" w:hAnsi="宋体" w:eastAsia="宋体" w:cs="宋体"/>
          <w:b/>
          <w:color w:val="auto"/>
          <w:sz w:val="24"/>
          <w:highlight w:val="lightGray"/>
        </w:rPr>
      </w:pPr>
      <w:r>
        <w:rPr>
          <w:rFonts w:hint="eastAsia" w:ascii="宋体" w:hAnsi="宋体" w:eastAsia="宋体" w:cs="宋体"/>
          <w:b/>
          <w:color w:val="auto"/>
          <w:sz w:val="24"/>
          <w:highlight w:val="none"/>
          <w:lang w:eastAsia="zh-CN"/>
        </w:rPr>
        <w:t>二、</w:t>
      </w:r>
      <w:r>
        <w:rPr>
          <w:rFonts w:hint="eastAsia" w:ascii="宋体" w:hAnsi="宋体" w:eastAsia="宋体" w:cs="宋体"/>
          <w:b/>
          <w:color w:val="auto"/>
          <w:sz w:val="24"/>
          <w:highlight w:val="none"/>
        </w:rPr>
        <w:t>采购需求反馈意见</w:t>
      </w:r>
    </w:p>
    <w:tbl>
      <w:tblPr>
        <w:tblStyle w:val="14"/>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319"/>
        <w:gridCol w:w="981"/>
        <w:gridCol w:w="1397"/>
        <w:gridCol w:w="1397"/>
        <w:gridCol w:w="2038"/>
        <w:gridCol w:w="1181"/>
      </w:tblGrid>
      <w:tr w14:paraId="2FB8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blHeader/>
          <w:jc w:val="center"/>
        </w:trPr>
        <w:tc>
          <w:tcPr>
            <w:tcW w:w="1006" w:type="dxa"/>
            <w:shd w:val="clear" w:color="auto" w:fill="D7D7D7" w:themeFill="background1" w:themeFillShade="D8"/>
            <w:vAlign w:val="center"/>
          </w:tcPr>
          <w:p w14:paraId="37A238DA">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调查项</w:t>
            </w:r>
          </w:p>
        </w:tc>
        <w:tc>
          <w:tcPr>
            <w:tcW w:w="8313" w:type="dxa"/>
            <w:gridSpan w:val="6"/>
            <w:shd w:val="clear" w:color="auto" w:fill="D7D7D7" w:themeFill="background1" w:themeFillShade="D8"/>
            <w:vAlign w:val="center"/>
          </w:tcPr>
          <w:p w14:paraId="23A20D12">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实际情况、对《采购项目概况》</w:t>
            </w:r>
            <w:r>
              <w:rPr>
                <w:rFonts w:hint="eastAsia" w:ascii="宋体" w:hAnsi="宋体" w:eastAsia="宋体" w:cs="宋体"/>
                <w:b/>
                <w:bCs/>
                <w:color w:val="auto"/>
                <w:sz w:val="24"/>
                <w:szCs w:val="24"/>
                <w:highlight w:val="none"/>
                <w:lang w:val="en-US" w:eastAsia="zh-CN"/>
              </w:rPr>
              <w:t>的</w:t>
            </w:r>
            <w:r>
              <w:rPr>
                <w:rFonts w:hint="eastAsia" w:ascii="宋体" w:hAnsi="宋体" w:eastAsia="宋体" w:cs="宋体"/>
                <w:b/>
                <w:bCs/>
                <w:color w:val="auto"/>
                <w:sz w:val="24"/>
                <w:szCs w:val="24"/>
                <w:highlight w:val="none"/>
              </w:rPr>
              <w:t>意见</w:t>
            </w:r>
            <w:r>
              <w:rPr>
                <w:rFonts w:hint="eastAsia" w:ascii="宋体" w:hAnsi="宋体" w:eastAsia="宋体" w:cs="宋体"/>
                <w:b/>
                <w:bCs/>
                <w:color w:val="auto"/>
                <w:sz w:val="24"/>
                <w:szCs w:val="24"/>
                <w:highlight w:val="none"/>
                <w:lang w:eastAsia="zh-CN"/>
              </w:rPr>
              <w:t>或建议等</w:t>
            </w:r>
          </w:p>
        </w:tc>
      </w:tr>
      <w:tr w14:paraId="683A7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06" w:type="dxa"/>
            <w:vMerge w:val="restart"/>
            <w:vAlign w:val="center"/>
          </w:tcPr>
          <w:p w14:paraId="2D7A5D6E">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采购标的所在产业发展情况</w:t>
            </w:r>
          </w:p>
        </w:tc>
        <w:tc>
          <w:tcPr>
            <w:tcW w:w="8313" w:type="dxa"/>
            <w:gridSpan w:val="6"/>
            <w:vAlign w:val="center"/>
          </w:tcPr>
          <w:p w14:paraId="0082B9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eastAsia" w:ascii="宋体" w:hAnsi="宋体" w:eastAsia="宋体" w:cs="宋体"/>
                <w:bCs/>
                <w:i w:val="0"/>
                <w:iCs/>
                <w:color w:val="auto"/>
                <w:sz w:val="24"/>
                <w:szCs w:val="24"/>
                <w:highlight w:val="none"/>
              </w:rPr>
            </w:pPr>
            <w:r>
              <w:rPr>
                <w:rFonts w:hint="eastAsia" w:ascii="宋体" w:hAnsi="宋体" w:eastAsia="宋体" w:cs="宋体"/>
                <w:bCs/>
                <w:i w:val="0"/>
                <w:iCs/>
                <w:color w:val="auto"/>
                <w:sz w:val="24"/>
                <w:szCs w:val="24"/>
                <w:highlight w:val="none"/>
                <w:lang w:val="en-US" w:eastAsia="zh-CN"/>
              </w:rPr>
              <w:t>1.</w:t>
            </w:r>
            <w:r>
              <w:rPr>
                <w:rFonts w:hint="eastAsia" w:ascii="宋体" w:hAnsi="宋体" w:eastAsia="宋体" w:cs="宋体"/>
                <w:bCs/>
                <w:i w:val="0"/>
                <w:iCs/>
                <w:color w:val="auto"/>
                <w:sz w:val="24"/>
                <w:szCs w:val="24"/>
                <w:highlight w:val="none"/>
              </w:rPr>
              <w:t>国内</w:t>
            </w:r>
            <w:r>
              <w:rPr>
                <w:rFonts w:hint="eastAsia" w:ascii="宋体" w:hAnsi="宋体" w:eastAsia="宋体" w:cs="宋体"/>
                <w:bCs/>
                <w:i w:val="0"/>
                <w:iCs/>
                <w:color w:val="auto"/>
                <w:sz w:val="24"/>
                <w:szCs w:val="24"/>
                <w:highlight w:val="none"/>
                <w:lang w:eastAsia="zh-CN"/>
              </w:rPr>
              <w:t>对此类项目的</w:t>
            </w:r>
            <w:r>
              <w:rPr>
                <w:rFonts w:hint="eastAsia" w:ascii="宋体" w:hAnsi="宋体" w:eastAsia="宋体" w:cs="宋体"/>
                <w:bCs/>
                <w:i w:val="0"/>
                <w:iCs/>
                <w:color w:val="auto"/>
                <w:sz w:val="24"/>
                <w:szCs w:val="24"/>
                <w:highlight w:val="none"/>
                <w:lang w:val="en-US" w:eastAsia="zh-CN"/>
              </w:rPr>
              <w:t>行业的</w:t>
            </w:r>
            <w:r>
              <w:rPr>
                <w:rFonts w:hint="eastAsia" w:ascii="宋体" w:hAnsi="宋体" w:eastAsia="宋体" w:cs="宋体"/>
                <w:bCs/>
                <w:i w:val="0"/>
                <w:iCs/>
                <w:color w:val="auto"/>
                <w:sz w:val="24"/>
                <w:szCs w:val="24"/>
                <w:highlight w:val="none"/>
                <w:lang w:eastAsia="zh-CN"/>
              </w:rPr>
              <w:t>发展历程、行业现状等</w:t>
            </w:r>
            <w:r>
              <w:rPr>
                <w:rFonts w:hint="eastAsia" w:ascii="宋体" w:hAnsi="宋体" w:eastAsia="宋体" w:cs="宋体"/>
                <w:bCs/>
                <w:i w:val="0"/>
                <w:iCs/>
                <w:color w:val="auto"/>
                <w:sz w:val="24"/>
                <w:szCs w:val="24"/>
                <w:highlight w:val="none"/>
              </w:rPr>
              <w:t>概述。</w:t>
            </w:r>
          </w:p>
        </w:tc>
      </w:tr>
      <w:tr w14:paraId="382C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06" w:type="dxa"/>
            <w:vMerge w:val="continue"/>
            <w:vAlign w:val="center"/>
          </w:tcPr>
          <w:p w14:paraId="70C9711C">
            <w:pPr>
              <w:jc w:val="center"/>
              <w:rPr>
                <w:rFonts w:hint="eastAsia" w:ascii="宋体" w:hAnsi="宋体" w:eastAsia="宋体" w:cs="宋体"/>
                <w:b/>
                <w:bCs/>
                <w:color w:val="auto"/>
                <w:sz w:val="24"/>
                <w:szCs w:val="24"/>
                <w:highlight w:val="none"/>
              </w:rPr>
            </w:pPr>
          </w:p>
        </w:tc>
        <w:tc>
          <w:tcPr>
            <w:tcW w:w="8313" w:type="dxa"/>
            <w:gridSpan w:val="6"/>
            <w:vAlign w:val="center"/>
          </w:tcPr>
          <w:p w14:paraId="38EE15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eastAsia" w:ascii="宋体" w:hAnsi="宋体" w:eastAsia="宋体" w:cs="宋体"/>
                <w:bCs/>
                <w:i w:val="0"/>
                <w:iCs/>
                <w:color w:val="auto"/>
                <w:sz w:val="24"/>
                <w:szCs w:val="24"/>
                <w:highlight w:val="none"/>
              </w:rPr>
            </w:pPr>
            <w:r>
              <w:rPr>
                <w:rFonts w:hint="eastAsia" w:ascii="宋体" w:hAnsi="宋体" w:eastAsia="宋体" w:cs="宋体"/>
                <w:i w:val="0"/>
                <w:iCs/>
                <w:color w:val="auto"/>
                <w:sz w:val="24"/>
                <w:szCs w:val="24"/>
                <w:highlight w:val="none"/>
                <w:lang w:val="en-US" w:eastAsia="zh-CN"/>
              </w:rPr>
              <w:t>答：</w:t>
            </w:r>
          </w:p>
        </w:tc>
      </w:tr>
      <w:tr w14:paraId="195FB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06" w:type="dxa"/>
            <w:vMerge w:val="continue"/>
            <w:vAlign w:val="center"/>
          </w:tcPr>
          <w:p w14:paraId="2B194AB1">
            <w:pPr>
              <w:jc w:val="center"/>
              <w:rPr>
                <w:rFonts w:hint="eastAsia" w:ascii="宋体" w:hAnsi="宋体" w:eastAsia="宋体" w:cs="宋体"/>
                <w:b/>
                <w:bCs/>
                <w:color w:val="auto"/>
                <w:sz w:val="24"/>
                <w:szCs w:val="24"/>
                <w:highlight w:val="none"/>
              </w:rPr>
            </w:pPr>
          </w:p>
        </w:tc>
        <w:tc>
          <w:tcPr>
            <w:tcW w:w="8313" w:type="dxa"/>
            <w:gridSpan w:val="6"/>
            <w:vAlign w:val="center"/>
          </w:tcPr>
          <w:p w14:paraId="4E5662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default" w:ascii="宋体" w:hAnsi="宋体" w:eastAsia="宋体" w:cs="宋体"/>
                <w:bCs/>
                <w:i w:val="0"/>
                <w:iCs/>
                <w:color w:val="auto"/>
                <w:sz w:val="24"/>
                <w:szCs w:val="24"/>
                <w:highlight w:val="none"/>
                <w:lang w:val="en-US" w:eastAsia="zh-CN"/>
              </w:rPr>
            </w:pPr>
            <w:r>
              <w:rPr>
                <w:rFonts w:hint="eastAsia" w:ascii="宋体" w:hAnsi="宋体" w:eastAsia="宋体" w:cs="宋体"/>
                <w:bCs/>
                <w:i w:val="0"/>
                <w:iCs/>
                <w:color w:val="auto"/>
                <w:sz w:val="24"/>
                <w:szCs w:val="24"/>
                <w:highlight w:val="none"/>
                <w:lang w:val="en-US" w:eastAsia="zh-CN"/>
              </w:rPr>
              <w:t>2.</w:t>
            </w:r>
            <w:r>
              <w:rPr>
                <w:rFonts w:hint="eastAsia" w:ascii="宋体" w:hAnsi="宋体" w:eastAsia="宋体" w:cs="宋体"/>
                <w:bCs/>
                <w:i w:val="0"/>
                <w:iCs/>
                <w:color w:val="auto"/>
                <w:sz w:val="24"/>
                <w:szCs w:val="24"/>
                <w:highlight w:val="none"/>
                <w:lang w:eastAsia="zh-CN"/>
              </w:rPr>
              <w:t>此类项目</w:t>
            </w:r>
            <w:r>
              <w:rPr>
                <w:rFonts w:hint="eastAsia" w:ascii="宋体" w:hAnsi="宋体" w:eastAsia="宋体" w:cs="宋体"/>
                <w:bCs/>
                <w:i w:val="0"/>
                <w:iCs/>
                <w:color w:val="auto"/>
                <w:sz w:val="24"/>
                <w:szCs w:val="24"/>
                <w:highlight w:val="none"/>
                <w:lang w:val="en-US" w:eastAsia="zh-CN"/>
              </w:rPr>
              <w:t>可能涉及的企业资质、人员资质。</w:t>
            </w:r>
          </w:p>
        </w:tc>
      </w:tr>
      <w:tr w14:paraId="2D55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06" w:type="dxa"/>
            <w:vMerge w:val="continue"/>
            <w:vAlign w:val="center"/>
          </w:tcPr>
          <w:p w14:paraId="77331474">
            <w:pPr>
              <w:jc w:val="center"/>
              <w:rPr>
                <w:rFonts w:hint="eastAsia" w:ascii="宋体" w:hAnsi="宋体" w:eastAsia="宋体" w:cs="宋体"/>
                <w:b/>
                <w:bCs/>
                <w:color w:val="auto"/>
                <w:sz w:val="24"/>
                <w:szCs w:val="24"/>
                <w:highlight w:val="none"/>
              </w:rPr>
            </w:pPr>
          </w:p>
        </w:tc>
        <w:tc>
          <w:tcPr>
            <w:tcW w:w="8313" w:type="dxa"/>
            <w:gridSpan w:val="6"/>
            <w:vAlign w:val="center"/>
          </w:tcPr>
          <w:p w14:paraId="3018E3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eastAsia" w:ascii="宋体" w:hAnsi="宋体" w:eastAsia="宋体" w:cs="宋体"/>
                <w:bCs/>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答：</w:t>
            </w:r>
          </w:p>
        </w:tc>
      </w:tr>
      <w:tr w14:paraId="39E9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06" w:type="dxa"/>
            <w:vMerge w:val="continue"/>
            <w:vAlign w:val="center"/>
          </w:tcPr>
          <w:p w14:paraId="0A83752F">
            <w:pPr>
              <w:jc w:val="center"/>
              <w:rPr>
                <w:rFonts w:hint="eastAsia" w:ascii="宋体" w:hAnsi="宋体" w:eastAsia="宋体" w:cs="宋体"/>
                <w:b/>
                <w:bCs/>
                <w:color w:val="auto"/>
                <w:sz w:val="24"/>
                <w:szCs w:val="24"/>
                <w:highlight w:val="none"/>
              </w:rPr>
            </w:pPr>
          </w:p>
        </w:tc>
        <w:tc>
          <w:tcPr>
            <w:tcW w:w="8313" w:type="dxa"/>
            <w:gridSpan w:val="6"/>
            <w:vAlign w:val="center"/>
          </w:tcPr>
          <w:p w14:paraId="03D32C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default" w:ascii="宋体" w:hAnsi="宋体" w:eastAsia="宋体" w:cs="宋体"/>
                <w:bCs/>
                <w:i w:val="0"/>
                <w:iCs/>
                <w:color w:val="auto"/>
                <w:sz w:val="24"/>
                <w:szCs w:val="24"/>
                <w:highlight w:val="none"/>
                <w:lang w:val="en-US" w:eastAsia="zh-CN"/>
              </w:rPr>
            </w:pPr>
            <w:r>
              <w:rPr>
                <w:rFonts w:hint="eastAsia" w:ascii="宋体" w:hAnsi="宋体" w:eastAsia="宋体" w:cs="宋体"/>
                <w:bCs/>
                <w:i w:val="0"/>
                <w:iCs/>
                <w:color w:val="auto"/>
                <w:sz w:val="24"/>
                <w:szCs w:val="24"/>
                <w:highlight w:val="none"/>
                <w:lang w:val="en-US" w:eastAsia="zh-CN"/>
              </w:rPr>
              <w:t>3.</w:t>
            </w:r>
            <w:r>
              <w:rPr>
                <w:rFonts w:hint="eastAsia" w:ascii="宋体" w:hAnsi="宋体" w:eastAsia="宋体" w:cs="宋体"/>
                <w:bCs/>
                <w:i w:val="0"/>
                <w:iCs/>
                <w:color w:val="auto"/>
                <w:sz w:val="24"/>
                <w:szCs w:val="24"/>
                <w:highlight w:val="none"/>
                <w:lang w:eastAsia="zh-CN"/>
              </w:rPr>
              <w:t>此类项目涉及的相关标准和规范。</w:t>
            </w:r>
          </w:p>
        </w:tc>
      </w:tr>
      <w:tr w14:paraId="2892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jc w:val="center"/>
        </w:trPr>
        <w:tc>
          <w:tcPr>
            <w:tcW w:w="1006" w:type="dxa"/>
            <w:vMerge w:val="continue"/>
            <w:vAlign w:val="center"/>
          </w:tcPr>
          <w:p w14:paraId="62E901B5">
            <w:pPr>
              <w:jc w:val="center"/>
              <w:rPr>
                <w:rFonts w:hint="eastAsia" w:ascii="宋体" w:hAnsi="宋体" w:eastAsia="宋体" w:cs="宋体"/>
                <w:b/>
                <w:bCs/>
                <w:color w:val="auto"/>
                <w:sz w:val="24"/>
                <w:szCs w:val="24"/>
                <w:highlight w:val="none"/>
              </w:rPr>
            </w:pPr>
          </w:p>
        </w:tc>
        <w:tc>
          <w:tcPr>
            <w:tcW w:w="8313" w:type="dxa"/>
            <w:gridSpan w:val="6"/>
            <w:vAlign w:val="top"/>
          </w:tcPr>
          <w:p w14:paraId="2B78A999">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答：</w:t>
            </w:r>
          </w:p>
        </w:tc>
      </w:tr>
      <w:tr w14:paraId="7B473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006" w:type="dxa"/>
            <w:vMerge w:val="restart"/>
            <w:vAlign w:val="center"/>
          </w:tcPr>
          <w:p w14:paraId="03AD53AA">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市场供给情况</w:t>
            </w:r>
          </w:p>
        </w:tc>
        <w:tc>
          <w:tcPr>
            <w:tcW w:w="8313" w:type="dxa"/>
            <w:gridSpan w:val="6"/>
            <w:vAlign w:val="center"/>
          </w:tcPr>
          <w:p w14:paraId="0C0C45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1.贵单位是否为此类型项目的唯一服务商?</w:t>
            </w:r>
          </w:p>
        </w:tc>
      </w:tr>
      <w:tr w14:paraId="403E5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1006" w:type="dxa"/>
            <w:vMerge w:val="continue"/>
            <w:vAlign w:val="center"/>
          </w:tcPr>
          <w:p w14:paraId="64AD5BB8">
            <w:pPr>
              <w:jc w:val="center"/>
              <w:rPr>
                <w:rFonts w:hint="eastAsia" w:ascii="宋体" w:hAnsi="宋体" w:eastAsia="宋体" w:cs="宋体"/>
                <w:b/>
                <w:bCs/>
                <w:color w:val="auto"/>
                <w:sz w:val="24"/>
                <w:szCs w:val="24"/>
                <w:highlight w:val="none"/>
              </w:rPr>
            </w:pPr>
          </w:p>
        </w:tc>
        <w:tc>
          <w:tcPr>
            <w:tcW w:w="8313" w:type="dxa"/>
            <w:gridSpan w:val="6"/>
            <w:vAlign w:val="center"/>
          </w:tcPr>
          <w:p w14:paraId="2D24050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答：</w:t>
            </w:r>
          </w:p>
        </w:tc>
      </w:tr>
      <w:tr w14:paraId="2DE1B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006" w:type="dxa"/>
            <w:vMerge w:val="continue"/>
            <w:vAlign w:val="center"/>
          </w:tcPr>
          <w:p w14:paraId="05D75B5E">
            <w:pPr>
              <w:jc w:val="center"/>
              <w:rPr>
                <w:rFonts w:hint="eastAsia" w:ascii="宋体" w:hAnsi="宋体" w:eastAsia="宋体" w:cs="宋体"/>
                <w:b/>
                <w:bCs/>
                <w:color w:val="auto"/>
                <w:sz w:val="24"/>
                <w:szCs w:val="24"/>
                <w:highlight w:val="none"/>
              </w:rPr>
            </w:pPr>
          </w:p>
        </w:tc>
        <w:tc>
          <w:tcPr>
            <w:tcW w:w="8313" w:type="dxa"/>
            <w:gridSpan w:val="6"/>
            <w:vAlign w:val="center"/>
          </w:tcPr>
          <w:p w14:paraId="3AC6AB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2.贵单位履约能力、售后服务能力</w:t>
            </w:r>
            <w:r>
              <w:rPr>
                <w:rFonts w:hint="eastAsia" w:ascii="宋体" w:hAnsi="宋体" w:eastAsia="宋体" w:cs="宋体"/>
                <w:bCs/>
                <w:i w:val="0"/>
                <w:iCs/>
                <w:color w:val="auto"/>
                <w:sz w:val="24"/>
                <w:szCs w:val="24"/>
                <w:highlight w:val="none"/>
                <w:lang w:eastAsia="zh-CN"/>
              </w:rPr>
              <w:t>等</w:t>
            </w:r>
            <w:r>
              <w:rPr>
                <w:rFonts w:hint="eastAsia" w:ascii="宋体" w:hAnsi="宋体" w:eastAsia="宋体" w:cs="宋体"/>
                <w:bCs/>
                <w:i w:val="0"/>
                <w:iCs/>
                <w:color w:val="auto"/>
                <w:sz w:val="24"/>
                <w:szCs w:val="24"/>
                <w:highlight w:val="none"/>
              </w:rPr>
              <w:t>概述</w:t>
            </w:r>
          </w:p>
        </w:tc>
      </w:tr>
      <w:tr w14:paraId="3D65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1006" w:type="dxa"/>
            <w:vMerge w:val="continue"/>
            <w:vAlign w:val="center"/>
          </w:tcPr>
          <w:p w14:paraId="209598D3">
            <w:pPr>
              <w:jc w:val="center"/>
              <w:rPr>
                <w:rFonts w:hint="eastAsia" w:ascii="宋体" w:hAnsi="宋体" w:eastAsia="宋体" w:cs="宋体"/>
                <w:b/>
                <w:bCs/>
                <w:color w:val="auto"/>
                <w:sz w:val="24"/>
                <w:szCs w:val="24"/>
                <w:highlight w:val="none"/>
              </w:rPr>
            </w:pPr>
          </w:p>
        </w:tc>
        <w:tc>
          <w:tcPr>
            <w:tcW w:w="8313" w:type="dxa"/>
            <w:gridSpan w:val="6"/>
            <w:vAlign w:val="center"/>
          </w:tcPr>
          <w:p w14:paraId="6C29437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答：</w:t>
            </w:r>
          </w:p>
        </w:tc>
      </w:tr>
      <w:tr w14:paraId="79779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006" w:type="dxa"/>
            <w:vMerge w:val="continue"/>
            <w:vAlign w:val="center"/>
          </w:tcPr>
          <w:p w14:paraId="6CBD60B8">
            <w:pPr>
              <w:jc w:val="center"/>
              <w:rPr>
                <w:rFonts w:hint="eastAsia" w:ascii="宋体" w:hAnsi="宋体" w:eastAsia="宋体" w:cs="宋体"/>
                <w:b/>
                <w:bCs/>
                <w:color w:val="auto"/>
                <w:sz w:val="24"/>
                <w:szCs w:val="24"/>
                <w:highlight w:val="none"/>
              </w:rPr>
            </w:pPr>
          </w:p>
        </w:tc>
        <w:tc>
          <w:tcPr>
            <w:tcW w:w="8313" w:type="dxa"/>
            <w:gridSpan w:val="6"/>
            <w:vAlign w:val="center"/>
          </w:tcPr>
          <w:p w14:paraId="6EFA960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3.本项目采购预算是否合理？</w:t>
            </w:r>
          </w:p>
        </w:tc>
      </w:tr>
      <w:tr w14:paraId="786FD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1006" w:type="dxa"/>
            <w:vMerge w:val="continue"/>
            <w:vAlign w:val="center"/>
          </w:tcPr>
          <w:p w14:paraId="14AF69AF">
            <w:pPr>
              <w:jc w:val="center"/>
              <w:rPr>
                <w:rFonts w:hint="eastAsia" w:ascii="宋体" w:hAnsi="宋体" w:eastAsia="宋体" w:cs="宋体"/>
                <w:b/>
                <w:bCs/>
                <w:color w:val="auto"/>
                <w:sz w:val="24"/>
                <w:szCs w:val="24"/>
                <w:highlight w:val="none"/>
              </w:rPr>
            </w:pPr>
          </w:p>
        </w:tc>
        <w:tc>
          <w:tcPr>
            <w:tcW w:w="8313" w:type="dxa"/>
            <w:gridSpan w:val="6"/>
            <w:vAlign w:val="top"/>
          </w:tcPr>
          <w:p w14:paraId="73A761E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i w:val="0"/>
                <w:iCs/>
                <w:color w:val="auto"/>
                <w:sz w:val="24"/>
                <w:szCs w:val="24"/>
                <w:highlight w:val="none"/>
                <w:u w:val="single"/>
                <w:lang w:val="en-US" w:eastAsia="zh-CN"/>
              </w:rPr>
            </w:pPr>
            <w:r>
              <w:rPr>
                <w:rFonts w:hint="eastAsia" w:ascii="宋体" w:hAnsi="宋体" w:eastAsia="宋体" w:cs="宋体"/>
                <w:i w:val="0"/>
                <w:iCs/>
                <w:color w:val="auto"/>
                <w:sz w:val="24"/>
                <w:szCs w:val="24"/>
                <w:highlight w:val="none"/>
                <w:lang w:val="en-US" w:eastAsia="zh-CN"/>
              </w:rPr>
              <w:t>答：</w:t>
            </w:r>
          </w:p>
        </w:tc>
      </w:tr>
      <w:tr w14:paraId="57756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06" w:type="dxa"/>
            <w:vMerge w:val="restart"/>
            <w:vAlign w:val="center"/>
          </w:tcPr>
          <w:p w14:paraId="375A5D30">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贵单位近</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年来同类项目历史成交情况</w:t>
            </w:r>
          </w:p>
        </w:tc>
        <w:tc>
          <w:tcPr>
            <w:tcW w:w="1319" w:type="dxa"/>
            <w:vAlign w:val="center"/>
          </w:tcPr>
          <w:p w14:paraId="3D00CD19">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合同履行时间</w:t>
            </w:r>
          </w:p>
        </w:tc>
        <w:tc>
          <w:tcPr>
            <w:tcW w:w="981" w:type="dxa"/>
            <w:vAlign w:val="center"/>
          </w:tcPr>
          <w:p w14:paraId="13ACDA6B">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采购人</w:t>
            </w:r>
          </w:p>
        </w:tc>
        <w:tc>
          <w:tcPr>
            <w:tcW w:w="1397" w:type="dxa"/>
            <w:vAlign w:val="center"/>
          </w:tcPr>
          <w:p w14:paraId="6B52B568">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合同项目名称</w:t>
            </w:r>
          </w:p>
        </w:tc>
        <w:tc>
          <w:tcPr>
            <w:tcW w:w="1397" w:type="dxa"/>
            <w:vAlign w:val="center"/>
          </w:tcPr>
          <w:p w14:paraId="7A8B9B66">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合同项目预算</w:t>
            </w:r>
          </w:p>
        </w:tc>
        <w:tc>
          <w:tcPr>
            <w:tcW w:w="2038" w:type="dxa"/>
            <w:vAlign w:val="center"/>
          </w:tcPr>
          <w:p w14:paraId="1A18620C">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合同主要标的名称</w:t>
            </w:r>
          </w:p>
        </w:tc>
        <w:tc>
          <w:tcPr>
            <w:tcW w:w="1181" w:type="dxa"/>
            <w:vAlign w:val="center"/>
          </w:tcPr>
          <w:p w14:paraId="1E142F61">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合同价</w:t>
            </w:r>
          </w:p>
          <w:p w14:paraId="161640BA">
            <w:pPr>
              <w:jc w:val="center"/>
              <w:rPr>
                <w:rFonts w:hint="eastAsia" w:ascii="宋体" w:hAnsi="宋体" w:eastAsia="宋体" w:cs="宋体"/>
                <w:i w:val="0"/>
                <w:iCs/>
                <w:color w:val="auto"/>
                <w:sz w:val="24"/>
                <w:szCs w:val="24"/>
                <w:highlight w:val="none"/>
              </w:rPr>
            </w:pPr>
            <w:r>
              <w:rPr>
                <w:rFonts w:hint="eastAsia" w:ascii="宋体" w:hAnsi="宋体" w:eastAsia="宋体" w:cs="宋体"/>
                <w:i w:val="0"/>
                <w:iCs/>
                <w:color w:val="auto"/>
                <w:sz w:val="24"/>
                <w:szCs w:val="24"/>
                <w:highlight w:val="none"/>
              </w:rPr>
              <w:t>（</w:t>
            </w:r>
            <w:r>
              <w:rPr>
                <w:rFonts w:hint="eastAsia" w:ascii="宋体" w:hAnsi="宋体" w:eastAsia="宋体" w:cs="宋体"/>
                <w:i w:val="0"/>
                <w:iCs/>
                <w:color w:val="auto"/>
                <w:sz w:val="24"/>
                <w:szCs w:val="24"/>
                <w:highlight w:val="none"/>
                <w:lang w:eastAsia="zh-CN"/>
              </w:rPr>
              <w:t>元</w:t>
            </w:r>
            <w:r>
              <w:rPr>
                <w:rFonts w:hint="eastAsia" w:ascii="宋体" w:hAnsi="宋体" w:eastAsia="宋体" w:cs="宋体"/>
                <w:i w:val="0"/>
                <w:iCs/>
                <w:color w:val="auto"/>
                <w:sz w:val="24"/>
                <w:szCs w:val="24"/>
                <w:highlight w:val="none"/>
              </w:rPr>
              <w:t>）</w:t>
            </w:r>
          </w:p>
        </w:tc>
      </w:tr>
      <w:tr w14:paraId="590B9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006" w:type="dxa"/>
            <w:vMerge w:val="continue"/>
            <w:vAlign w:val="center"/>
          </w:tcPr>
          <w:p w14:paraId="01AA228F">
            <w:pPr>
              <w:jc w:val="center"/>
              <w:rPr>
                <w:rFonts w:hint="eastAsia" w:ascii="宋体" w:hAnsi="宋体" w:eastAsia="宋体" w:cs="宋体"/>
                <w:b/>
                <w:bCs/>
                <w:color w:val="auto"/>
                <w:sz w:val="24"/>
                <w:szCs w:val="24"/>
                <w:highlight w:val="none"/>
              </w:rPr>
            </w:pPr>
          </w:p>
        </w:tc>
        <w:tc>
          <w:tcPr>
            <w:tcW w:w="1319" w:type="dxa"/>
            <w:vAlign w:val="center"/>
          </w:tcPr>
          <w:p w14:paraId="0A824840">
            <w:pPr>
              <w:jc w:val="left"/>
              <w:rPr>
                <w:rFonts w:hint="eastAsia" w:ascii="宋体" w:hAnsi="宋体" w:eastAsia="宋体" w:cs="宋体"/>
                <w:i w:val="0"/>
                <w:iCs/>
                <w:color w:val="auto"/>
                <w:sz w:val="24"/>
                <w:szCs w:val="24"/>
                <w:highlight w:val="none"/>
                <w:lang w:eastAsia="zh-CN"/>
              </w:rPr>
            </w:pPr>
            <w:r>
              <w:rPr>
                <w:rFonts w:hint="eastAsia" w:ascii="宋体" w:hAnsi="宋体" w:eastAsia="宋体" w:cs="宋体"/>
                <w:i w:val="0"/>
                <w:iCs/>
                <w:color w:val="auto"/>
                <w:sz w:val="24"/>
                <w:szCs w:val="24"/>
                <w:highlight w:val="none"/>
                <w:lang w:eastAsia="zh-CN"/>
              </w:rPr>
              <w:t>（</w:t>
            </w:r>
            <w:r>
              <w:rPr>
                <w:rFonts w:hint="eastAsia" w:ascii="宋体" w:hAnsi="宋体" w:eastAsia="宋体" w:cs="宋体"/>
                <w:i w:val="0"/>
                <w:iCs/>
                <w:color w:val="auto"/>
                <w:sz w:val="24"/>
                <w:szCs w:val="24"/>
                <w:highlight w:val="none"/>
                <w:lang w:val="en-US" w:eastAsia="zh-CN"/>
              </w:rPr>
              <w:t>XXXX年X月X日-XXXX年X月X日</w:t>
            </w:r>
            <w:r>
              <w:rPr>
                <w:rFonts w:hint="eastAsia" w:ascii="宋体" w:hAnsi="宋体" w:eastAsia="宋体" w:cs="宋体"/>
                <w:i w:val="0"/>
                <w:iCs/>
                <w:color w:val="auto"/>
                <w:sz w:val="24"/>
                <w:szCs w:val="24"/>
                <w:highlight w:val="none"/>
                <w:lang w:eastAsia="zh-CN"/>
              </w:rPr>
              <w:t>）</w:t>
            </w:r>
          </w:p>
        </w:tc>
        <w:tc>
          <w:tcPr>
            <w:tcW w:w="981" w:type="dxa"/>
            <w:vAlign w:val="center"/>
          </w:tcPr>
          <w:p w14:paraId="1BBEB148">
            <w:pPr>
              <w:jc w:val="left"/>
              <w:rPr>
                <w:rFonts w:hint="eastAsia" w:ascii="宋体" w:hAnsi="宋体" w:eastAsia="宋体" w:cs="宋体"/>
                <w:i w:val="0"/>
                <w:iCs/>
                <w:color w:val="auto"/>
                <w:sz w:val="24"/>
                <w:szCs w:val="24"/>
                <w:highlight w:val="none"/>
              </w:rPr>
            </w:pPr>
          </w:p>
        </w:tc>
        <w:tc>
          <w:tcPr>
            <w:tcW w:w="1397" w:type="dxa"/>
            <w:vAlign w:val="center"/>
          </w:tcPr>
          <w:p w14:paraId="33F12F63">
            <w:pPr>
              <w:jc w:val="left"/>
              <w:rPr>
                <w:rFonts w:hint="eastAsia" w:ascii="宋体" w:hAnsi="宋体" w:eastAsia="宋体" w:cs="宋体"/>
                <w:i w:val="0"/>
                <w:iCs/>
                <w:color w:val="auto"/>
                <w:sz w:val="24"/>
                <w:szCs w:val="24"/>
                <w:highlight w:val="none"/>
              </w:rPr>
            </w:pPr>
          </w:p>
        </w:tc>
        <w:tc>
          <w:tcPr>
            <w:tcW w:w="1397" w:type="dxa"/>
            <w:vAlign w:val="center"/>
          </w:tcPr>
          <w:p w14:paraId="4CDBD11B">
            <w:pPr>
              <w:jc w:val="left"/>
              <w:rPr>
                <w:rFonts w:hint="eastAsia" w:ascii="宋体" w:hAnsi="宋体" w:eastAsia="宋体" w:cs="宋体"/>
                <w:i w:val="0"/>
                <w:iCs/>
                <w:color w:val="auto"/>
                <w:sz w:val="24"/>
                <w:szCs w:val="24"/>
                <w:highlight w:val="none"/>
              </w:rPr>
            </w:pPr>
          </w:p>
        </w:tc>
        <w:tc>
          <w:tcPr>
            <w:tcW w:w="2038" w:type="dxa"/>
            <w:vAlign w:val="center"/>
          </w:tcPr>
          <w:p w14:paraId="0955AA90">
            <w:pPr>
              <w:jc w:val="left"/>
              <w:rPr>
                <w:rFonts w:hint="eastAsia" w:ascii="宋体" w:hAnsi="宋体" w:eastAsia="宋体" w:cs="宋体"/>
                <w:i w:val="0"/>
                <w:iCs/>
                <w:color w:val="auto"/>
                <w:sz w:val="24"/>
                <w:szCs w:val="24"/>
                <w:highlight w:val="none"/>
              </w:rPr>
            </w:pPr>
          </w:p>
        </w:tc>
        <w:tc>
          <w:tcPr>
            <w:tcW w:w="1181" w:type="dxa"/>
            <w:vAlign w:val="top"/>
          </w:tcPr>
          <w:p w14:paraId="56D42FEF">
            <w:pPr>
              <w:jc w:val="left"/>
              <w:rPr>
                <w:rFonts w:hint="eastAsia" w:ascii="宋体" w:hAnsi="宋体" w:eastAsia="宋体" w:cs="宋体"/>
                <w:i w:val="0"/>
                <w:iCs/>
                <w:color w:val="auto"/>
                <w:sz w:val="24"/>
                <w:szCs w:val="24"/>
                <w:highlight w:val="none"/>
              </w:rPr>
            </w:pPr>
          </w:p>
        </w:tc>
      </w:tr>
      <w:tr w14:paraId="1C456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06" w:type="dxa"/>
            <w:vMerge w:val="continue"/>
            <w:vAlign w:val="center"/>
          </w:tcPr>
          <w:p w14:paraId="1A50B9B8">
            <w:pPr>
              <w:jc w:val="center"/>
              <w:rPr>
                <w:rFonts w:hint="eastAsia" w:ascii="宋体" w:hAnsi="宋体" w:eastAsia="宋体" w:cs="宋体"/>
                <w:b/>
                <w:bCs/>
                <w:color w:val="auto"/>
                <w:sz w:val="24"/>
                <w:szCs w:val="24"/>
                <w:highlight w:val="none"/>
              </w:rPr>
            </w:pPr>
          </w:p>
        </w:tc>
        <w:tc>
          <w:tcPr>
            <w:tcW w:w="1319" w:type="dxa"/>
            <w:vAlign w:val="center"/>
          </w:tcPr>
          <w:p w14:paraId="4237B369">
            <w:pPr>
              <w:jc w:val="left"/>
              <w:rPr>
                <w:rFonts w:hint="eastAsia" w:ascii="宋体" w:hAnsi="宋体" w:eastAsia="宋体" w:cs="宋体"/>
                <w:i/>
                <w:iCs/>
                <w:color w:val="auto"/>
                <w:sz w:val="24"/>
                <w:szCs w:val="24"/>
                <w:highlight w:val="none"/>
              </w:rPr>
            </w:pPr>
          </w:p>
        </w:tc>
        <w:tc>
          <w:tcPr>
            <w:tcW w:w="981" w:type="dxa"/>
            <w:vAlign w:val="center"/>
          </w:tcPr>
          <w:p w14:paraId="1729BFC9">
            <w:pPr>
              <w:jc w:val="left"/>
              <w:rPr>
                <w:rFonts w:hint="eastAsia" w:ascii="宋体" w:hAnsi="宋体" w:eastAsia="宋体" w:cs="宋体"/>
                <w:i/>
                <w:iCs/>
                <w:color w:val="auto"/>
                <w:sz w:val="24"/>
                <w:szCs w:val="24"/>
                <w:highlight w:val="none"/>
              </w:rPr>
            </w:pPr>
          </w:p>
        </w:tc>
        <w:tc>
          <w:tcPr>
            <w:tcW w:w="1397" w:type="dxa"/>
            <w:vAlign w:val="center"/>
          </w:tcPr>
          <w:p w14:paraId="316F918D">
            <w:pPr>
              <w:jc w:val="left"/>
              <w:rPr>
                <w:rFonts w:hint="eastAsia" w:ascii="宋体" w:hAnsi="宋体" w:eastAsia="宋体" w:cs="宋体"/>
                <w:i/>
                <w:iCs/>
                <w:color w:val="auto"/>
                <w:sz w:val="24"/>
                <w:szCs w:val="24"/>
                <w:highlight w:val="none"/>
              </w:rPr>
            </w:pPr>
          </w:p>
        </w:tc>
        <w:tc>
          <w:tcPr>
            <w:tcW w:w="1397" w:type="dxa"/>
            <w:vAlign w:val="center"/>
          </w:tcPr>
          <w:p w14:paraId="78B5DF6A">
            <w:pPr>
              <w:jc w:val="left"/>
              <w:rPr>
                <w:rFonts w:hint="eastAsia" w:ascii="宋体" w:hAnsi="宋体" w:eastAsia="宋体" w:cs="宋体"/>
                <w:i/>
                <w:iCs/>
                <w:color w:val="auto"/>
                <w:sz w:val="24"/>
                <w:szCs w:val="24"/>
                <w:highlight w:val="none"/>
              </w:rPr>
            </w:pPr>
          </w:p>
        </w:tc>
        <w:tc>
          <w:tcPr>
            <w:tcW w:w="2038" w:type="dxa"/>
            <w:vAlign w:val="center"/>
          </w:tcPr>
          <w:p w14:paraId="1CA61456">
            <w:pPr>
              <w:jc w:val="left"/>
              <w:rPr>
                <w:rFonts w:hint="eastAsia" w:ascii="宋体" w:hAnsi="宋体" w:eastAsia="宋体" w:cs="宋体"/>
                <w:i/>
                <w:iCs/>
                <w:color w:val="auto"/>
                <w:sz w:val="24"/>
                <w:szCs w:val="24"/>
                <w:highlight w:val="none"/>
              </w:rPr>
            </w:pPr>
          </w:p>
        </w:tc>
        <w:tc>
          <w:tcPr>
            <w:tcW w:w="1181" w:type="dxa"/>
            <w:vAlign w:val="center"/>
          </w:tcPr>
          <w:p w14:paraId="0094B179">
            <w:pPr>
              <w:jc w:val="left"/>
              <w:rPr>
                <w:rFonts w:hint="eastAsia" w:ascii="宋体" w:hAnsi="宋体" w:eastAsia="宋体" w:cs="宋体"/>
                <w:i/>
                <w:iCs/>
                <w:color w:val="auto"/>
                <w:sz w:val="24"/>
                <w:szCs w:val="24"/>
                <w:highlight w:val="none"/>
              </w:rPr>
            </w:pPr>
          </w:p>
        </w:tc>
      </w:tr>
      <w:tr w14:paraId="00CF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1006" w:type="dxa"/>
            <w:vMerge w:val="continue"/>
            <w:vAlign w:val="center"/>
          </w:tcPr>
          <w:p w14:paraId="01FDCAFC">
            <w:pPr>
              <w:jc w:val="center"/>
              <w:rPr>
                <w:rFonts w:hint="eastAsia" w:ascii="宋体" w:hAnsi="宋体" w:eastAsia="宋体" w:cs="宋体"/>
                <w:b/>
                <w:bCs/>
                <w:color w:val="auto"/>
                <w:sz w:val="24"/>
                <w:szCs w:val="24"/>
                <w:highlight w:val="none"/>
              </w:rPr>
            </w:pPr>
          </w:p>
        </w:tc>
        <w:tc>
          <w:tcPr>
            <w:tcW w:w="1319" w:type="dxa"/>
            <w:vAlign w:val="center"/>
          </w:tcPr>
          <w:p w14:paraId="0E26D9AE">
            <w:pPr>
              <w:jc w:val="left"/>
              <w:rPr>
                <w:rFonts w:hint="eastAsia" w:ascii="宋体" w:hAnsi="宋体" w:eastAsia="宋体" w:cs="宋体"/>
                <w:i/>
                <w:iCs/>
                <w:color w:val="auto"/>
                <w:sz w:val="24"/>
                <w:szCs w:val="24"/>
                <w:highlight w:val="none"/>
              </w:rPr>
            </w:pPr>
          </w:p>
        </w:tc>
        <w:tc>
          <w:tcPr>
            <w:tcW w:w="981" w:type="dxa"/>
            <w:vAlign w:val="center"/>
          </w:tcPr>
          <w:p w14:paraId="60DE3FE7">
            <w:pPr>
              <w:jc w:val="left"/>
              <w:rPr>
                <w:rFonts w:hint="eastAsia" w:ascii="宋体" w:hAnsi="宋体" w:eastAsia="宋体" w:cs="宋体"/>
                <w:i/>
                <w:iCs/>
                <w:color w:val="auto"/>
                <w:sz w:val="24"/>
                <w:szCs w:val="24"/>
                <w:highlight w:val="none"/>
              </w:rPr>
            </w:pPr>
          </w:p>
        </w:tc>
        <w:tc>
          <w:tcPr>
            <w:tcW w:w="1397" w:type="dxa"/>
            <w:vAlign w:val="center"/>
          </w:tcPr>
          <w:p w14:paraId="10FB44AB">
            <w:pPr>
              <w:jc w:val="left"/>
              <w:rPr>
                <w:rFonts w:hint="eastAsia" w:ascii="宋体" w:hAnsi="宋体" w:eastAsia="宋体" w:cs="宋体"/>
                <w:i/>
                <w:iCs/>
                <w:color w:val="auto"/>
                <w:sz w:val="24"/>
                <w:szCs w:val="24"/>
                <w:highlight w:val="none"/>
              </w:rPr>
            </w:pPr>
          </w:p>
        </w:tc>
        <w:tc>
          <w:tcPr>
            <w:tcW w:w="1397" w:type="dxa"/>
            <w:vAlign w:val="center"/>
          </w:tcPr>
          <w:p w14:paraId="15EEB548">
            <w:pPr>
              <w:jc w:val="left"/>
              <w:rPr>
                <w:rFonts w:hint="eastAsia" w:ascii="宋体" w:hAnsi="宋体" w:eastAsia="宋体" w:cs="宋体"/>
                <w:i/>
                <w:iCs/>
                <w:color w:val="auto"/>
                <w:sz w:val="24"/>
                <w:szCs w:val="24"/>
                <w:highlight w:val="none"/>
              </w:rPr>
            </w:pPr>
          </w:p>
        </w:tc>
        <w:tc>
          <w:tcPr>
            <w:tcW w:w="2038" w:type="dxa"/>
            <w:vAlign w:val="center"/>
          </w:tcPr>
          <w:p w14:paraId="7BF932B4">
            <w:pPr>
              <w:jc w:val="left"/>
              <w:rPr>
                <w:rFonts w:hint="eastAsia" w:ascii="宋体" w:hAnsi="宋体" w:eastAsia="宋体" w:cs="宋体"/>
                <w:i/>
                <w:iCs/>
                <w:color w:val="auto"/>
                <w:sz w:val="24"/>
                <w:szCs w:val="24"/>
                <w:highlight w:val="none"/>
              </w:rPr>
            </w:pPr>
          </w:p>
        </w:tc>
        <w:tc>
          <w:tcPr>
            <w:tcW w:w="1181" w:type="dxa"/>
            <w:vAlign w:val="center"/>
          </w:tcPr>
          <w:p w14:paraId="4D46900C">
            <w:pPr>
              <w:jc w:val="left"/>
              <w:rPr>
                <w:rFonts w:hint="eastAsia" w:ascii="宋体" w:hAnsi="宋体" w:eastAsia="宋体" w:cs="宋体"/>
                <w:i/>
                <w:iCs/>
                <w:color w:val="auto"/>
                <w:sz w:val="24"/>
                <w:szCs w:val="24"/>
                <w:highlight w:val="none"/>
              </w:rPr>
            </w:pPr>
          </w:p>
        </w:tc>
      </w:tr>
      <w:tr w14:paraId="15C6D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006" w:type="dxa"/>
            <w:vMerge w:val="continue"/>
            <w:vAlign w:val="center"/>
          </w:tcPr>
          <w:p w14:paraId="69DC8A72">
            <w:pPr>
              <w:jc w:val="center"/>
              <w:rPr>
                <w:rFonts w:hint="eastAsia" w:ascii="宋体" w:hAnsi="宋体" w:eastAsia="宋体" w:cs="宋体"/>
                <w:b/>
                <w:bCs/>
                <w:color w:val="auto"/>
                <w:sz w:val="24"/>
                <w:szCs w:val="24"/>
                <w:highlight w:val="none"/>
              </w:rPr>
            </w:pPr>
          </w:p>
        </w:tc>
        <w:tc>
          <w:tcPr>
            <w:tcW w:w="1319" w:type="dxa"/>
            <w:vAlign w:val="center"/>
          </w:tcPr>
          <w:p w14:paraId="5D58FE77">
            <w:pPr>
              <w:jc w:val="left"/>
              <w:rPr>
                <w:rFonts w:hint="eastAsia" w:ascii="宋体" w:hAnsi="宋体" w:eastAsia="宋体" w:cs="宋体"/>
                <w:i/>
                <w:iCs/>
                <w:color w:val="auto"/>
                <w:sz w:val="24"/>
                <w:szCs w:val="24"/>
                <w:highlight w:val="none"/>
              </w:rPr>
            </w:pPr>
          </w:p>
        </w:tc>
        <w:tc>
          <w:tcPr>
            <w:tcW w:w="981" w:type="dxa"/>
            <w:vAlign w:val="center"/>
          </w:tcPr>
          <w:p w14:paraId="462719B7">
            <w:pPr>
              <w:jc w:val="left"/>
              <w:rPr>
                <w:rFonts w:hint="eastAsia" w:ascii="宋体" w:hAnsi="宋体" w:eastAsia="宋体" w:cs="宋体"/>
                <w:i/>
                <w:iCs/>
                <w:color w:val="auto"/>
                <w:sz w:val="24"/>
                <w:szCs w:val="24"/>
                <w:highlight w:val="none"/>
              </w:rPr>
            </w:pPr>
          </w:p>
        </w:tc>
        <w:tc>
          <w:tcPr>
            <w:tcW w:w="1397" w:type="dxa"/>
            <w:vAlign w:val="center"/>
          </w:tcPr>
          <w:p w14:paraId="237A24F6">
            <w:pPr>
              <w:jc w:val="left"/>
              <w:rPr>
                <w:rFonts w:hint="eastAsia" w:ascii="宋体" w:hAnsi="宋体" w:eastAsia="宋体" w:cs="宋体"/>
                <w:i/>
                <w:iCs/>
                <w:color w:val="auto"/>
                <w:sz w:val="24"/>
                <w:szCs w:val="24"/>
                <w:highlight w:val="none"/>
              </w:rPr>
            </w:pPr>
          </w:p>
        </w:tc>
        <w:tc>
          <w:tcPr>
            <w:tcW w:w="1397" w:type="dxa"/>
            <w:vAlign w:val="center"/>
          </w:tcPr>
          <w:p w14:paraId="1E3038A0">
            <w:pPr>
              <w:jc w:val="left"/>
              <w:rPr>
                <w:rFonts w:hint="eastAsia" w:ascii="宋体" w:hAnsi="宋体" w:eastAsia="宋体" w:cs="宋体"/>
                <w:i/>
                <w:iCs/>
                <w:color w:val="auto"/>
                <w:sz w:val="24"/>
                <w:szCs w:val="24"/>
                <w:highlight w:val="none"/>
              </w:rPr>
            </w:pPr>
          </w:p>
        </w:tc>
        <w:tc>
          <w:tcPr>
            <w:tcW w:w="2038" w:type="dxa"/>
            <w:vAlign w:val="center"/>
          </w:tcPr>
          <w:p w14:paraId="51BBEDE8">
            <w:pPr>
              <w:jc w:val="left"/>
              <w:rPr>
                <w:rFonts w:hint="eastAsia" w:ascii="宋体" w:hAnsi="宋体" w:eastAsia="宋体" w:cs="宋体"/>
                <w:i/>
                <w:iCs/>
                <w:color w:val="auto"/>
                <w:sz w:val="24"/>
                <w:szCs w:val="24"/>
                <w:highlight w:val="none"/>
              </w:rPr>
            </w:pPr>
          </w:p>
        </w:tc>
        <w:tc>
          <w:tcPr>
            <w:tcW w:w="1181" w:type="dxa"/>
            <w:vAlign w:val="center"/>
          </w:tcPr>
          <w:p w14:paraId="4E82CA97">
            <w:pPr>
              <w:jc w:val="left"/>
              <w:rPr>
                <w:rFonts w:hint="eastAsia" w:ascii="宋体" w:hAnsi="宋体" w:eastAsia="宋体" w:cs="宋体"/>
                <w:i/>
                <w:iCs/>
                <w:color w:val="auto"/>
                <w:sz w:val="24"/>
                <w:szCs w:val="24"/>
                <w:highlight w:val="none"/>
              </w:rPr>
            </w:pPr>
          </w:p>
        </w:tc>
      </w:tr>
      <w:tr w14:paraId="1DC7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006" w:type="dxa"/>
            <w:vAlign w:val="center"/>
          </w:tcPr>
          <w:p w14:paraId="232458CF">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规划</w:t>
            </w:r>
            <w:r>
              <w:rPr>
                <w:rFonts w:hint="eastAsia" w:ascii="宋体" w:hAnsi="宋体" w:eastAsia="宋体" w:cs="宋体"/>
                <w:b/>
                <w:bCs/>
                <w:color w:val="auto"/>
                <w:sz w:val="24"/>
                <w:szCs w:val="24"/>
                <w:highlight w:val="none"/>
              </w:rPr>
              <w:t>内容</w:t>
            </w:r>
          </w:p>
        </w:tc>
        <w:tc>
          <w:tcPr>
            <w:tcW w:w="5094" w:type="dxa"/>
            <w:gridSpan w:val="4"/>
            <w:vAlign w:val="center"/>
          </w:tcPr>
          <w:p w14:paraId="201B4E3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用户需求书</w:t>
            </w:r>
          </w:p>
          <w:p w14:paraId="77DB5B8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一、</w:t>
            </w:r>
            <w:r>
              <w:rPr>
                <w:rFonts w:hint="eastAsia" w:ascii="宋体" w:hAnsi="宋体" w:eastAsia="宋体" w:cs="宋体"/>
                <w:b/>
                <w:bCs/>
                <w:i w:val="0"/>
                <w:iCs w:val="0"/>
                <w:color w:val="auto"/>
                <w:sz w:val="24"/>
                <w:szCs w:val="24"/>
                <w:highlight w:val="none"/>
              </w:rPr>
              <w:t>总则</w:t>
            </w:r>
          </w:p>
          <w:p w14:paraId="50230C24">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第一条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为优化“一区一城一港一湾”产业发展新格局，落实城市发展需要，结合202</w:t>
            </w:r>
            <w:r>
              <w:rPr>
                <w:rFonts w:hint="eastAsia" w:ascii="宋体" w:hAnsi="宋体" w:cs="宋体"/>
                <w:sz w:val="24"/>
                <w:lang w:val="en-US" w:eastAsia="zh-CN"/>
              </w:rPr>
              <w:t>4</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年度花都区土地储备任务，拟开展202</w:t>
            </w:r>
            <w:r>
              <w:rPr>
                <w:rFonts w:hint="eastAsia" w:ascii="宋体" w:hAnsi="宋体" w:cs="宋体"/>
                <w:sz w:val="24"/>
                <w:lang w:val="en-US" w:eastAsia="zh-CN"/>
              </w:rPr>
              <w:t>4</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年度储备用地控规调整服务工作。</w:t>
            </w:r>
          </w:p>
          <w:p w14:paraId="52D79B6E">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第二条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本规划调整项目的工作范</w:t>
            </w:r>
            <w:bookmarkStart w:id="1" w:name="_GoBack"/>
            <w:bookmarkEnd w:id="1"/>
            <w:r>
              <w:rPr>
                <w:rFonts w:hint="eastAsia" w:ascii="宋体" w:hAnsi="宋体" w:cs="宋体"/>
                <w:sz w:val="24"/>
              </w:rPr>
              <w:t>围为花都区。</w:t>
            </w:r>
          </w:p>
          <w:p w14:paraId="19B853FA">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第三条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本标段将依据《中华人民共和国政府采购法》相关规定，通过政府采购的方式，委托具备相应资质的服务单位完成。</w:t>
            </w:r>
          </w:p>
          <w:p w14:paraId="1D6894D8">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sz w:val="24"/>
              </w:rPr>
            </w:pPr>
            <w:r>
              <w:rPr>
                <w:rFonts w:hint="default" w:ascii="宋体" w:hAnsi="宋体" w:eastAsia="宋体" w:cs="Times New Roman"/>
                <w:b/>
                <w:color w:val="auto"/>
                <w:kern w:val="2"/>
                <w:sz w:val="24"/>
                <w:szCs w:val="24"/>
                <w:lang w:val="en-US" w:eastAsia="zh-CN" w:bidi="ar-SA"/>
              </w:rPr>
              <w:t>第四条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本次规划设计工作的服务期限为两年，自中标后签订合同之日起计算。服务期限内，由广州市花都区土地开发储备中心指定具体地块开展调规工作，最终按实际完成工作量结算费用。承接本标段的单位需按任务书规定要求和进度完成工作，并按约定的工作期限完成指定储备地块的规划调整并按程序通过有关部门审批。</w:t>
            </w:r>
          </w:p>
          <w:p w14:paraId="6C663011">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sz w:val="24"/>
              </w:rPr>
            </w:pPr>
            <w:r>
              <w:rPr>
                <w:rFonts w:hint="default" w:ascii="宋体" w:hAnsi="宋体" w:cs="宋体"/>
                <w:b/>
                <w:bCs/>
                <w:sz w:val="24"/>
                <w:lang w:val="en-US" w:eastAsia="zh-CN"/>
              </w:rPr>
              <w:t>第五条</w:t>
            </w:r>
            <w:r>
              <w:rPr>
                <w:rFonts w:hint="eastAsia" w:ascii="宋体" w:hAnsi="宋体" w:cs="宋体"/>
                <w:b/>
                <w:bCs/>
                <w:sz w:val="24"/>
                <w:lang w:val="en-US" w:eastAsia="zh-CN"/>
              </w:rPr>
              <w:t xml:space="preserve"> </w:t>
            </w:r>
            <w:r>
              <w:rPr>
                <w:rFonts w:hint="eastAsia" w:ascii="宋体" w:hAnsi="宋体" w:cs="宋体"/>
                <w:sz w:val="24"/>
              </w:rPr>
              <w:t>承接本规划任务的单位被视为承认本任务书所有条款，并按本文件规定的条款完成相关工作。</w:t>
            </w:r>
          </w:p>
          <w:p w14:paraId="3549C629">
            <w:pPr>
              <w:pStyle w:val="25"/>
              <w:numPr>
                <w:ilvl w:val="0"/>
                <w:numId w:val="0"/>
              </w:numPr>
              <w:spacing w:line="360" w:lineRule="auto"/>
              <w:ind w:left="0" w:leftChars="0" w:firstLine="482" w:firstLineChars="200"/>
              <w:jc w:val="center"/>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二、</w:t>
            </w:r>
            <w:r>
              <w:rPr>
                <w:rFonts w:hint="eastAsia" w:ascii="宋体" w:hAnsi="宋体" w:eastAsia="宋体" w:cs="宋体"/>
                <w:b/>
                <w:bCs/>
                <w:i w:val="0"/>
                <w:iCs w:val="0"/>
                <w:color w:val="auto"/>
                <w:sz w:val="24"/>
                <w:szCs w:val="24"/>
                <w:highlight w:val="none"/>
              </w:rPr>
              <w:t>规划设计原则</w:t>
            </w:r>
          </w:p>
          <w:p w14:paraId="679B01E8">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第六条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承上启下原则：充分落实广州市国土</w:t>
            </w:r>
            <w:r>
              <w:rPr>
                <w:rFonts w:ascii="宋体" w:hAnsi="宋体" w:cs="宋体"/>
                <w:sz w:val="24"/>
              </w:rPr>
              <w:t>空间总体规划、花都区发展大纲</w:t>
            </w:r>
            <w:r>
              <w:rPr>
                <w:rFonts w:hint="eastAsia" w:ascii="宋体" w:hAnsi="宋体" w:cs="宋体"/>
                <w:sz w:val="24"/>
              </w:rPr>
              <w:t>等上层次规划的要求，从</w:t>
            </w:r>
            <w:r>
              <w:rPr>
                <w:rFonts w:ascii="宋体" w:hAnsi="宋体" w:cs="宋体"/>
                <w:sz w:val="24"/>
              </w:rPr>
              <w:t>更大的范围考虑</w:t>
            </w:r>
            <w:r>
              <w:rPr>
                <w:rFonts w:hint="eastAsia" w:ascii="宋体" w:hAnsi="宋体" w:cs="宋体"/>
                <w:sz w:val="24"/>
              </w:rPr>
              <w:t>规划</w:t>
            </w:r>
            <w:r>
              <w:rPr>
                <w:rFonts w:ascii="宋体" w:hAnsi="宋体" w:cs="宋体"/>
                <w:sz w:val="24"/>
              </w:rPr>
              <w:t>的发展定位</w:t>
            </w:r>
            <w:r>
              <w:rPr>
                <w:rFonts w:hint="eastAsia" w:ascii="宋体" w:hAnsi="宋体" w:cs="宋体"/>
                <w:sz w:val="24"/>
              </w:rPr>
              <w:t>和功能</w:t>
            </w:r>
            <w:r>
              <w:rPr>
                <w:rFonts w:ascii="宋体" w:hAnsi="宋体" w:cs="宋体"/>
                <w:sz w:val="24"/>
              </w:rPr>
              <w:t>，建立</w:t>
            </w:r>
            <w:r>
              <w:rPr>
                <w:rFonts w:hint="eastAsia" w:ascii="宋体" w:hAnsi="宋体" w:cs="宋体"/>
                <w:sz w:val="24"/>
              </w:rPr>
              <w:t>地区清晰的发展路径</w:t>
            </w:r>
            <w:r>
              <w:rPr>
                <w:rFonts w:ascii="宋体" w:hAnsi="宋体" w:cs="宋体"/>
                <w:sz w:val="24"/>
              </w:rPr>
              <w:t>，提出具有较高可行性的发展策略</w:t>
            </w:r>
            <w:r>
              <w:rPr>
                <w:rFonts w:hint="eastAsia" w:ascii="宋体" w:hAnsi="宋体" w:cs="宋体"/>
                <w:sz w:val="24"/>
              </w:rPr>
              <w:t>，</w:t>
            </w:r>
            <w:r>
              <w:rPr>
                <w:rFonts w:ascii="宋体" w:hAnsi="宋体" w:cs="宋体"/>
                <w:sz w:val="24"/>
              </w:rPr>
              <w:t>引领该地区城市建设和产业转型升级。</w:t>
            </w:r>
          </w:p>
          <w:p w14:paraId="1BFD8129">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第七条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以人为本原则：注重环境保护和开发利用相结合，体现可持续发展的要求。从人的尺度和出行需要出发，构建和谐、舒适的现代城市风貌。</w:t>
            </w:r>
          </w:p>
          <w:p w14:paraId="2A8958F8">
            <w:pPr>
              <w:pStyle w:val="25"/>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第八条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“多规合一”原则：规划应综合协调国土空间规划、城市规划、土地利用总体规划与社会经济发展规划之间的关系，特别是注意建设用地在规模与空间布局上的衔接。</w:t>
            </w:r>
          </w:p>
          <w:p w14:paraId="60B116A7">
            <w:pPr>
              <w:pStyle w:val="25"/>
              <w:keepNext w:val="0"/>
              <w:keepLines w:val="0"/>
              <w:pageBreakBefore w:val="0"/>
              <w:widowControl w:val="0"/>
              <w:numPr>
                <w:ilvl w:val="0"/>
                <w:numId w:val="0"/>
              </w:numPr>
              <w:tabs>
                <w:tab w:val="left" w:pos="1320"/>
                <w:tab w:val="left" w:pos="1540"/>
              </w:tabs>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第九条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精细化、品质化原则：按照“精细化、品质化”的要求，从人的尺度和出行需要出发，构建和谐、舒适的城市环境。</w:t>
            </w:r>
          </w:p>
          <w:p w14:paraId="234DE229">
            <w:pPr>
              <w:pStyle w:val="25"/>
              <w:keepNext w:val="0"/>
              <w:keepLines w:val="0"/>
              <w:pageBreakBefore w:val="0"/>
              <w:widowControl w:val="0"/>
              <w:numPr>
                <w:ilvl w:val="0"/>
                <w:numId w:val="0"/>
              </w:numPr>
              <w:tabs>
                <w:tab w:val="left" w:pos="1320"/>
                <w:tab w:val="left" w:pos="1540"/>
              </w:tabs>
              <w:kinsoku/>
              <w:wordWrap/>
              <w:overflowPunct/>
              <w:topLinePunct w:val="0"/>
              <w:autoSpaceDE/>
              <w:autoSpaceDN/>
              <w:bidi w:val="0"/>
              <w:adjustRightInd/>
              <w:snapToGrid/>
              <w:spacing w:line="360" w:lineRule="auto"/>
              <w:ind w:left="0" w:leftChars="0" w:firstLine="0" w:firstLineChars="0"/>
              <w:jc w:val="left"/>
              <w:textAlignment w:val="auto"/>
              <w:rPr>
                <w:rFonts w:ascii="宋体" w:hAnsi="宋体" w:cs="宋体"/>
                <w:sz w:val="24"/>
              </w:rPr>
            </w:pPr>
            <w:r>
              <w:rPr>
                <w:rFonts w:hint="default" w:ascii="宋体" w:hAnsi="宋体" w:eastAsia="宋体" w:cs="Times New Roman"/>
                <w:b/>
                <w:color w:val="auto"/>
                <w:kern w:val="2"/>
                <w:sz w:val="24"/>
                <w:szCs w:val="24"/>
                <w:lang w:val="en-US" w:eastAsia="zh-CN" w:bidi="ar-SA"/>
              </w:rPr>
              <w:t>第十条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远近结合原则：规划应注重规划功能区的可持续发展，结合上层次规划要求，科学合理论证产业园区各阶段发展目标和规模，统一规划，分期实施。</w:t>
            </w:r>
          </w:p>
          <w:p w14:paraId="2E11BE9E">
            <w:pPr>
              <w:pStyle w:val="25"/>
              <w:keepNext w:val="0"/>
              <w:keepLines w:val="0"/>
              <w:pageBreakBefore w:val="0"/>
              <w:widowControl w:val="0"/>
              <w:numPr>
                <w:ilvl w:val="0"/>
                <w:numId w:val="0"/>
              </w:numPr>
              <w:tabs>
                <w:tab w:val="left" w:pos="1320"/>
                <w:tab w:val="left" w:pos="154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i w:val="0"/>
                <w:iCs w:val="0"/>
                <w:color w:val="auto"/>
                <w:sz w:val="24"/>
                <w:szCs w:val="24"/>
                <w:highlight w:val="none"/>
              </w:rPr>
            </w:pPr>
            <w:r>
              <w:rPr>
                <w:rFonts w:hint="default" w:ascii="宋体" w:hAnsi="宋体" w:eastAsia="宋体" w:cs="Times New Roman"/>
                <w:b/>
                <w:color w:val="auto"/>
                <w:kern w:val="2"/>
                <w:sz w:val="24"/>
                <w:szCs w:val="24"/>
                <w:lang w:val="en-US" w:eastAsia="zh-CN" w:bidi="ar-SA"/>
              </w:rPr>
              <w:t>第十一条</w:t>
            </w:r>
            <w:r>
              <w:rPr>
                <w:rFonts w:hint="eastAsia" w:ascii="宋体" w:hAnsi="宋体" w:eastAsia="宋体" w:cs="Times New Roman"/>
                <w:b/>
                <w:color w:val="auto"/>
                <w:kern w:val="2"/>
                <w:sz w:val="24"/>
                <w:szCs w:val="24"/>
                <w:lang w:val="en-US" w:eastAsia="zh-CN" w:bidi="ar-SA"/>
              </w:rPr>
              <w:t xml:space="preserve"> </w:t>
            </w:r>
            <w:r>
              <w:rPr>
                <w:rFonts w:hint="eastAsia" w:ascii="宋体" w:hAnsi="宋体" w:cs="宋体"/>
                <w:sz w:val="24"/>
              </w:rPr>
              <w:t>符合法规原则：遵循中华人民共和国各项有关城市规划与建筑设计规范，以及广东省和广州市相关行业的有关法律、法规和技术规范，成果应符合城乡规划“一张图”管理的“信息化”要求。</w:t>
            </w:r>
          </w:p>
          <w:p w14:paraId="6856DFF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三、</w:t>
            </w:r>
            <w:r>
              <w:rPr>
                <w:rFonts w:hint="eastAsia" w:ascii="宋体" w:hAnsi="宋体" w:eastAsia="宋体" w:cs="宋体"/>
                <w:b/>
                <w:bCs/>
                <w:i w:val="0"/>
                <w:iCs w:val="0"/>
                <w:color w:val="auto"/>
                <w:sz w:val="24"/>
                <w:szCs w:val="24"/>
                <w:highlight w:val="none"/>
              </w:rPr>
              <w:t>工作内容要求</w:t>
            </w:r>
          </w:p>
          <w:p w14:paraId="454C225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第十二条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花都区土地储备控制性详细规划编制工作，主要指广州市花都区土地开发储备中心下达的土地储备用地相关规划编制，包括控制性详细规划修改、控制性详细规划修正、交通影响评估、环境影响评估等内容，另外根据实际情况开展树木保护专章、历史文化遗产评估、洪涝安全评估及防洪排涝能力提升报告。</w:t>
            </w:r>
          </w:p>
          <w:p w14:paraId="4324B67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第十三条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控制性详细规划修改</w:t>
            </w:r>
          </w:p>
          <w:p w14:paraId="2F8D8C1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(1)</w:t>
            </w:r>
            <w:r>
              <w:rPr>
                <w:rFonts w:hint="eastAsia" w:ascii="宋体" w:hAnsi="宋体" w:eastAsia="宋体" w:cs="宋体"/>
                <w:i w:val="0"/>
                <w:iCs w:val="0"/>
                <w:color w:val="auto"/>
                <w:sz w:val="24"/>
                <w:szCs w:val="24"/>
                <w:highlight w:val="none"/>
              </w:rPr>
              <w:t>规划依据与原则。说明规划编制的依据和原则，包括已审批的上层次规划、专项规划及其它相关规划，适用的法规、规范和其它依据，规划编制所遵循的主要原则等。</w:t>
            </w:r>
          </w:p>
          <w:p w14:paraId="4B872C8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(2)</w:t>
            </w:r>
            <w:r>
              <w:rPr>
                <w:rFonts w:hint="eastAsia" w:ascii="宋体" w:hAnsi="宋体" w:eastAsia="宋体" w:cs="宋体"/>
                <w:i w:val="0"/>
                <w:iCs w:val="0"/>
                <w:color w:val="auto"/>
                <w:sz w:val="24"/>
                <w:szCs w:val="24"/>
                <w:highlight w:val="none"/>
              </w:rPr>
              <w:t>上层次规划情况。阐述已批准的城市总体规划、战略规划或者专项规划等上层次规划和其它相关规划对规划区范围的规划要求。</w:t>
            </w:r>
          </w:p>
          <w:p w14:paraId="637CB53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(3)</w:t>
            </w:r>
            <w:r>
              <w:rPr>
                <w:rFonts w:hint="eastAsia" w:ascii="宋体" w:hAnsi="宋体" w:eastAsia="宋体" w:cs="宋体"/>
                <w:i w:val="0"/>
                <w:iCs w:val="0"/>
                <w:color w:val="auto"/>
                <w:sz w:val="24"/>
                <w:szCs w:val="24"/>
                <w:highlight w:val="none"/>
              </w:rPr>
              <w:t>规划调整说明。阐明本次规划对上一轮控制性详细规划的调整，说明调整依据、调整原因。</w:t>
            </w:r>
          </w:p>
          <w:p w14:paraId="3DFB2B6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(4)</w:t>
            </w:r>
            <w:r>
              <w:rPr>
                <w:rFonts w:hint="eastAsia" w:ascii="宋体" w:hAnsi="宋体" w:eastAsia="宋体" w:cs="宋体"/>
                <w:i w:val="0"/>
                <w:iCs w:val="0"/>
                <w:color w:val="auto"/>
                <w:sz w:val="24"/>
                <w:szCs w:val="24"/>
                <w:highlight w:val="none"/>
              </w:rPr>
              <w:t>现状分析。在现状调查资料基础上，分析规划区现状社会经济、土地利用、公共服务设施、道路交通系统、绿地系统等方面的特征，解析问题及成因。</w:t>
            </w:r>
          </w:p>
          <w:p w14:paraId="636A29A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(5)</w:t>
            </w:r>
            <w:r>
              <w:rPr>
                <w:rFonts w:hint="eastAsia" w:ascii="宋体" w:hAnsi="宋体" w:eastAsia="宋体" w:cs="宋体"/>
                <w:i w:val="0"/>
                <w:iCs w:val="0"/>
                <w:color w:val="auto"/>
                <w:sz w:val="24"/>
                <w:szCs w:val="24"/>
                <w:highlight w:val="none"/>
              </w:rPr>
              <w:t>用地布局。根据发展定位，从全区、规划区等层面统筹考虑的角度，分析影响规划区范围用地布局结构与功能组织的主要因素，检讨原控规土地利用规划方案，确定用地布局结构与功能组织，各类用地的分布、规模及规划要求。</w:t>
            </w:r>
          </w:p>
          <w:p w14:paraId="1DB8F06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(6)</w:t>
            </w:r>
            <w:r>
              <w:rPr>
                <w:rFonts w:hint="eastAsia" w:ascii="宋体" w:hAnsi="宋体" w:eastAsia="宋体" w:cs="宋体"/>
                <w:i w:val="0"/>
                <w:iCs w:val="0"/>
                <w:color w:val="auto"/>
                <w:sz w:val="24"/>
                <w:szCs w:val="24"/>
                <w:highlight w:val="none"/>
              </w:rPr>
              <w:t>多规合一。按照“多规合一”原则，对涉及地区的国民经济和社会发展规划、土地利用总体规划和各类专项规划进行协调，重点在空间上与土地利用总体规划、环境保护规划进行协调。</w:t>
            </w:r>
          </w:p>
          <w:p w14:paraId="272B59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(7)</w:t>
            </w:r>
            <w:r>
              <w:rPr>
                <w:rFonts w:hint="eastAsia" w:ascii="宋体" w:hAnsi="宋体" w:eastAsia="宋体" w:cs="宋体"/>
                <w:i w:val="0"/>
                <w:iCs w:val="0"/>
                <w:color w:val="auto"/>
                <w:sz w:val="24"/>
                <w:szCs w:val="24"/>
                <w:highlight w:val="none"/>
              </w:rPr>
              <w:t>地块及管理单元调整说明。按照规划控制的要求及项目具体情况，确定规划地块及规划管理单元的控制内容，包括：各地块的用地性质、开发强度、绿地率、建筑密度、配套设施数量等指标；各规划管理单元主导属性、总用地面积、总建筑面积、人口规模、公共服务设施、市政公用设施、绿地与广场以及文物保护等。根据实际情况，对控制指标进行必要的说明和论证。</w:t>
            </w:r>
          </w:p>
          <w:p w14:paraId="2C0914C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(8)</w:t>
            </w:r>
            <w:r>
              <w:rPr>
                <w:rFonts w:hint="eastAsia" w:ascii="宋体" w:hAnsi="宋体" w:eastAsia="宋体" w:cs="宋体"/>
                <w:i w:val="0"/>
                <w:iCs w:val="0"/>
                <w:color w:val="auto"/>
                <w:sz w:val="24"/>
                <w:szCs w:val="24"/>
                <w:highlight w:val="none"/>
              </w:rPr>
              <w:t>开发强度和人口容量。结合地区的交通、设施承载力、航空限高等要求，结合周边的景观环境保护要求，综合确定各地块的开发强度和人口容量。</w:t>
            </w:r>
          </w:p>
          <w:p w14:paraId="6F0BE42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(9)</w:t>
            </w:r>
            <w:r>
              <w:rPr>
                <w:rFonts w:hint="eastAsia" w:ascii="宋体" w:hAnsi="宋体" w:eastAsia="宋体" w:cs="宋体"/>
                <w:i w:val="0"/>
                <w:iCs w:val="0"/>
                <w:color w:val="auto"/>
                <w:sz w:val="24"/>
                <w:szCs w:val="24"/>
                <w:highlight w:val="none"/>
              </w:rPr>
              <w:t>公共服务设施规划。根据调整的用地性质和人口容量，重新评估规划地块、规划管理单元的公共服务设施的等级、数量、规模及控制要求。</w:t>
            </w:r>
          </w:p>
          <w:p w14:paraId="7B46635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(10)</w:t>
            </w:r>
            <w:r>
              <w:rPr>
                <w:rFonts w:hint="eastAsia" w:ascii="宋体" w:hAnsi="宋体" w:eastAsia="宋体" w:cs="宋体"/>
                <w:i w:val="0"/>
                <w:iCs w:val="0"/>
                <w:color w:val="auto"/>
                <w:sz w:val="24"/>
                <w:szCs w:val="24"/>
                <w:highlight w:val="none"/>
              </w:rPr>
              <w:t>道路交通规划。根据上层次规划确定的控制及规划要求，处理好规划调整地块与周边道路衔接关系，对各类交通设施（含道路、公交、停车等）的布局、规模、用地范围等进行统筹安排；明确对原有规划道路的调整情况，并对调整原因进行详细说明。</w:t>
            </w:r>
          </w:p>
          <w:p w14:paraId="3368EAB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zh-CN" w:eastAsia="zh-CN"/>
              </w:rPr>
              <w:t>(11)</w:t>
            </w:r>
            <w:r>
              <w:rPr>
                <w:rFonts w:hint="eastAsia" w:ascii="宋体" w:hAnsi="宋体" w:eastAsia="宋体" w:cs="宋体"/>
                <w:i w:val="0"/>
                <w:iCs w:val="0"/>
                <w:color w:val="auto"/>
                <w:sz w:val="24"/>
                <w:szCs w:val="24"/>
                <w:highlight w:val="none"/>
              </w:rPr>
              <w:t>总平面概念方案。明确设计范围在区域层面的空间结构位置，提出整体的空间形态意向，对河流沿线、重要道路沿线重要节点、视廊、视点、视域等景观构成要素提出控制和引导要求，明确调整地块的总平面布局概念方案。</w:t>
            </w:r>
          </w:p>
          <w:p w14:paraId="35EA2E2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第十四条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交通影响评估与环境影响评估</w:t>
            </w:r>
          </w:p>
          <w:p w14:paraId="0D3451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根据审批部门的要求，完成交通影响评估报告与环境影响评估报告，明确控规调整的可行性，评估成果形式需符合审议要求。</w:t>
            </w:r>
          </w:p>
          <w:p w14:paraId="5B6A5A8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第十五条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控制性详细规划修正</w:t>
            </w:r>
          </w:p>
          <w:p w14:paraId="7D07B11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结合广州市市权下放、简化审批流程的要求，部分控规修改工作下放各区政府，按照控规修正进行审批，规划论证报告内容仍按控规修改成果完成，相关交通影响评估和环境影响评估，按相关部门要求进行选做。</w:t>
            </w:r>
          </w:p>
          <w:p w14:paraId="3D89EC2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第十六条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其他专项评估工作</w:t>
            </w:r>
          </w:p>
          <w:p w14:paraId="6DDCA8B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按照规划审批要求需开展树木保护专章、历史文化遗产评估、洪涝安全评估及防洪排涝能力提升报告。</w:t>
            </w:r>
          </w:p>
          <w:p w14:paraId="599B918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四、</w:t>
            </w:r>
            <w:r>
              <w:rPr>
                <w:rFonts w:hint="eastAsia" w:ascii="宋体" w:hAnsi="宋体" w:eastAsia="宋体" w:cs="宋体"/>
                <w:b/>
                <w:bCs/>
                <w:i w:val="0"/>
                <w:iCs w:val="0"/>
                <w:color w:val="auto"/>
                <w:sz w:val="24"/>
                <w:szCs w:val="24"/>
                <w:highlight w:val="none"/>
              </w:rPr>
              <w:t>规划成果要求</w:t>
            </w:r>
          </w:p>
          <w:p w14:paraId="014DC00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第十七条</w:t>
            </w:r>
            <w:r>
              <w:rPr>
                <w:rFonts w:hint="eastAsia" w:ascii="宋体" w:hAnsi="宋体" w:eastAsia="宋体" w:cs="宋体"/>
                <w:i w:val="0"/>
                <w:iCs w:val="0"/>
                <w:color w:val="auto"/>
                <w:sz w:val="24"/>
                <w:szCs w:val="24"/>
                <w:highlight w:val="none"/>
              </w:rPr>
              <w:t xml:space="preserve"> 规划成果必须符合工作内容中有关章节规定的要求，并达到审批部门要求。</w:t>
            </w:r>
          </w:p>
          <w:p w14:paraId="08E408B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第十八条</w:t>
            </w:r>
            <w:r>
              <w:rPr>
                <w:rFonts w:hint="eastAsia" w:ascii="宋体" w:hAnsi="宋体" w:eastAsia="宋体" w:cs="宋体"/>
                <w:i w:val="0"/>
                <w:iCs w:val="0"/>
                <w:color w:val="auto"/>
                <w:sz w:val="24"/>
                <w:szCs w:val="24"/>
                <w:highlight w:val="none"/>
              </w:rPr>
              <w:t xml:space="preserve"> 规划成果必须做到清晰、完整、表达准确，同类图纸规格应尽量统一。</w:t>
            </w:r>
          </w:p>
          <w:p w14:paraId="54B9AB1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第十九条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根据审查环节的需要，在提交规划成果进行审查的每个环节，设计单位均应提供符合规划内容要求的图纸全本或简本，数量以满足审查要求为准，装订规格为A3（297×420mm）或A4（297×210mm）。</w:t>
            </w:r>
          </w:p>
          <w:p w14:paraId="1C2E927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设计成果电子文件要求：本规划全部设计成果均应按照广州市“多规合一”信息平台和城乡规划“一张图”信息平台建设的要求制作成电子文件。文本文件采用可编辑的原始（word或indesign或ppt排版文件）格式，图形文件采用AutoCad的dwg格式和JPG格式，以上电子文件要求提交光盘3套。</w:t>
            </w:r>
          </w:p>
          <w:p w14:paraId="14FC2B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五、</w:t>
            </w:r>
            <w:r>
              <w:rPr>
                <w:rFonts w:hint="eastAsia" w:ascii="宋体" w:hAnsi="宋体" w:eastAsia="宋体" w:cs="宋体"/>
                <w:b/>
                <w:bCs/>
                <w:i w:val="0"/>
                <w:iCs w:val="0"/>
                <w:color w:val="auto"/>
                <w:sz w:val="24"/>
                <w:szCs w:val="24"/>
                <w:highlight w:val="none"/>
              </w:rPr>
              <w:t>成果报送及审查规定</w:t>
            </w:r>
          </w:p>
          <w:p w14:paraId="4D8F24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第二十一条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规划设计单位需负责提供各审查阶段所必需的成果、方案介绍等汇报资料。</w:t>
            </w:r>
          </w:p>
          <w:p w14:paraId="5010FCE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第二十二条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各阶段成果报送的规划设计文件，规划设计单位必须于审查前3天提交广州市规划和自然资源局花都区分局及广州市花都区土地开发储备中心，经清点文件后签收登记。</w:t>
            </w:r>
          </w:p>
          <w:p w14:paraId="350EC4F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第二十三条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规划设计单位提交的成果应在方案图纸和文本缩印本上标注委托单位名称、设计单位名称、设计人员名单、法定代表人（或法定代表人委托代理人），并盖印公章。</w:t>
            </w:r>
          </w:p>
          <w:p w14:paraId="07EF4A4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第二十四条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项目的规划调整通过审批部门批准，成果材料经广州市规划和自然资源局花都区分局技术审查同意并予以结题。技术服务单位凭结题材料及最终成果文件向广州市花都区土地开发储备中心结算资金。</w:t>
            </w:r>
          </w:p>
          <w:p w14:paraId="431F73A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第二十五条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单个项目原则上需在接受委托起半年内完成规划调整，确因审查原因、具体地块复杂或其他非技术服务单位原因造成无法按期完成的，项目完成的时间可适当延后。具体时间由规划设计单位与规划组织单位协商确定。</w:t>
            </w:r>
          </w:p>
          <w:p w14:paraId="3FD2443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六、</w:t>
            </w:r>
            <w:r>
              <w:rPr>
                <w:rFonts w:hint="eastAsia" w:ascii="宋体" w:hAnsi="宋体" w:eastAsia="宋体" w:cs="宋体"/>
                <w:b/>
                <w:bCs/>
                <w:i w:val="0"/>
                <w:iCs w:val="0"/>
                <w:color w:val="auto"/>
                <w:sz w:val="24"/>
                <w:szCs w:val="24"/>
                <w:highlight w:val="none"/>
              </w:rPr>
              <w:t>费用结算</w:t>
            </w:r>
          </w:p>
          <w:p w14:paraId="7C06F7F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第二十六条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费用总控制价</w:t>
            </w:r>
          </w:p>
          <w:p w14:paraId="6E467AA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费用总控制价为人民币3000万元整（含税）。</w:t>
            </w:r>
          </w:p>
          <w:p w14:paraId="497FAE7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第二十七条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报价方式与支付方式</w:t>
            </w:r>
          </w:p>
          <w:p w14:paraId="008D2B4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1.</w:t>
            </w:r>
            <w:r>
              <w:rPr>
                <w:rFonts w:hint="eastAsia" w:ascii="宋体" w:hAnsi="宋体" w:eastAsia="宋体" w:cs="宋体"/>
                <w:i w:val="0"/>
                <w:iCs w:val="0"/>
                <w:color w:val="auto"/>
                <w:sz w:val="24"/>
                <w:szCs w:val="24"/>
                <w:highlight w:val="none"/>
              </w:rPr>
              <w:t>本项目总金额为3000万元（含税），服务期限两年，按照采购人具体委托实施项目进行结算。单个项目基准费用参照《广东省城市规划收费标准的建议》（行业指导价，2003）的有关规定执行，但不超过本条第2点规定的最高限价；特殊情况，可由采购人与中标人另行协商确定。</w:t>
            </w:r>
          </w:p>
          <w:p w14:paraId="29B938F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bookmarkStart w:id="0" w:name="_Hlk92707525"/>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最高限价：</w:t>
            </w:r>
          </w:p>
          <w:p w14:paraId="11EF6C5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(1)</w:t>
            </w:r>
            <w:r>
              <w:rPr>
                <w:rFonts w:hint="eastAsia" w:ascii="宋体" w:hAnsi="宋体" w:eastAsia="宋体" w:cs="宋体"/>
                <w:i w:val="0"/>
                <w:iCs w:val="0"/>
                <w:color w:val="auto"/>
                <w:sz w:val="24"/>
                <w:szCs w:val="24"/>
                <w:highlight w:val="none"/>
              </w:rPr>
              <w:t>控制性详细规划修改业务：单个规划管理单元内控规调整项目，如需编制环境影响报告书，则单个项目总费用不高于122万元（含环境影响报告书+交通影响评估篇章），如项目需编制环境影响篇章，则单个项目不高于97万元（含环境影响篇章+交通影响评估篇章）；涉及多个规划管理单元片区控规调整项目（规划管理单元超过1个的且面积超过200公顷），每个项目总费用不高于196万（含环境影响报告书+交通影响评估），如项目需编制环境影响篇章，则每个项目不高于171万元（含环境影响篇章+交通影响评估篇章）。</w:t>
            </w:r>
          </w:p>
          <w:p w14:paraId="64209CD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控制性详细规划修正项目：工业用地不高于50万元/个（含交评环评），居住、商业等其他用用地不高于60万元/个（含交评环评）。</w:t>
            </w:r>
          </w:p>
          <w:p w14:paraId="300AB48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若需开展树木保护专章，其计费标准参照《广东省城市规划收费标准的建议》（行业指导价，2003）：规划范围不大于2平方公里，报价21万元。规划范围超过2平方公里，按照上述价格的2倍计费。即报价42万元。</w:t>
            </w:r>
          </w:p>
          <w:p w14:paraId="361EF54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(4)</w:t>
            </w:r>
            <w:r>
              <w:rPr>
                <w:rFonts w:hint="eastAsia" w:ascii="宋体" w:hAnsi="宋体" w:eastAsia="宋体" w:cs="宋体"/>
                <w:i w:val="0"/>
                <w:iCs w:val="0"/>
                <w:color w:val="auto"/>
                <w:sz w:val="24"/>
                <w:szCs w:val="24"/>
                <w:highlight w:val="none"/>
              </w:rPr>
              <w:t>若需开展历史文化遗产评估，其计费标准参照《广东省城市规划收费标准的建议》（行业指导价，2003）：规划范围不大于2平方公里，报价21万元。规划范围超过2平方公里，按照上述价格的2倍计费。即报价42万元（计费同上）。</w:t>
            </w:r>
          </w:p>
          <w:p w14:paraId="141B1A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(5)</w:t>
            </w:r>
            <w:r>
              <w:rPr>
                <w:rFonts w:hint="eastAsia" w:ascii="宋体" w:hAnsi="宋体" w:eastAsia="宋体" w:cs="宋体"/>
                <w:i w:val="0"/>
                <w:iCs w:val="0"/>
                <w:color w:val="auto"/>
                <w:sz w:val="24"/>
                <w:szCs w:val="24"/>
                <w:highlight w:val="none"/>
              </w:rPr>
              <w:t>若需开展洪涝安全评估，其计费标准参照《广州市花都区储备地块洪涝安全评估项目》（2022年合同）：按广州市水务局出具符合性审查意见计费，考虑新增竖向规划工作量时，控规单元面积≤10公顷的，费用为18万元。10公顷＜控规管理单元面积≤50公顷的，费用为35万元。控规单元面积＞50公顷部分，每超1公顷按3000元进行结算。</w:t>
            </w:r>
          </w:p>
          <w:p w14:paraId="66AAB6C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另，由花都区水务局出具符合性审查意见的洪涝安全评估项目，考虑新增竖向规划工作量时，控规单元面积≤10公顷的，费用为12万元；10公顷＜控规管理单元面积≤50公顷的，费用为24万元；控规单元面积＞50公顷部分，每超1公顷按1800元进行结算。</w:t>
            </w:r>
          </w:p>
          <w:p w14:paraId="1D6C3EB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(6)</w:t>
            </w:r>
            <w:r>
              <w:rPr>
                <w:rFonts w:hint="eastAsia" w:ascii="宋体" w:hAnsi="宋体" w:eastAsia="宋体" w:cs="宋体"/>
                <w:i w:val="0"/>
                <w:iCs w:val="0"/>
                <w:color w:val="auto"/>
                <w:sz w:val="24"/>
                <w:szCs w:val="24"/>
                <w:highlight w:val="none"/>
              </w:rPr>
              <w:t>若需开展防洪排涝能力提升报告，其计费标准参照《广东省城市规划收费标准的建议》（行业指导价，2003）：规划范围不大于2平方公里，收费予以七折优惠，即报价为21万元；规划范围超过2平方公里，按照上述价格的2倍计费，即报价42万元。</w:t>
            </w:r>
          </w:p>
          <w:p w14:paraId="7F0B1C6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(7)</w:t>
            </w:r>
            <w:r>
              <w:rPr>
                <w:rFonts w:hint="eastAsia" w:ascii="宋体" w:hAnsi="宋体" w:eastAsia="宋体" w:cs="宋体"/>
                <w:i w:val="0"/>
                <w:iCs w:val="0"/>
                <w:color w:val="auto"/>
                <w:sz w:val="24"/>
                <w:szCs w:val="24"/>
                <w:highlight w:val="none"/>
              </w:rPr>
              <w:t>上述业务按照规划审批要求需开展交通影响评估与环境影响评估，交通影响评估与环境影响评估不再另行计费；如项目涉及以上（3）—（6）所列专项评估据实结算。</w:t>
            </w:r>
          </w:p>
          <w:bookmarkEnd w:id="0"/>
          <w:p w14:paraId="41C66EE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本项目投标人须以投标下浮率的形式进行报价，统一对本项目所有服务内容报一个投标下浮率，不接受有选择性报价，投标下浮率必须为固定值（如10%），不得存在区间值（如10-20%），所报的投标下浮率应当适用于采购人所采购的每项服务，否则投标无效。</w:t>
            </w:r>
          </w:p>
          <w:p w14:paraId="57E04E1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4.</w:t>
            </w:r>
            <w:r>
              <w:rPr>
                <w:rFonts w:hint="eastAsia" w:ascii="宋体" w:hAnsi="宋体" w:eastAsia="宋体" w:cs="宋体"/>
                <w:i w:val="0"/>
                <w:iCs w:val="0"/>
                <w:color w:val="auto"/>
                <w:sz w:val="24"/>
                <w:szCs w:val="24"/>
                <w:highlight w:val="none"/>
              </w:rPr>
              <w:t>0％≤投标下浮率≤100％，结算费用=单个项目基准费用×（1-中标下浮率），最终的</w:t>
            </w:r>
            <w:r>
              <w:rPr>
                <w:rFonts w:hint="eastAsia" w:ascii="宋体" w:hAnsi="宋体" w:eastAsia="宋体" w:cs="宋体"/>
                <w:i w:val="0"/>
                <w:iCs w:val="0"/>
                <w:color w:val="auto"/>
                <w:sz w:val="24"/>
                <w:szCs w:val="24"/>
                <w:highlight w:val="none"/>
                <w:lang w:val="hr-HR"/>
              </w:rPr>
              <w:t>结算</w:t>
            </w:r>
            <w:r>
              <w:rPr>
                <w:rFonts w:hint="eastAsia" w:ascii="宋体" w:hAnsi="宋体" w:eastAsia="宋体" w:cs="宋体"/>
                <w:i w:val="0"/>
                <w:iCs w:val="0"/>
                <w:color w:val="auto"/>
                <w:sz w:val="24"/>
                <w:szCs w:val="24"/>
                <w:highlight w:val="none"/>
              </w:rPr>
              <w:t>金额</w:t>
            </w:r>
            <w:r>
              <w:rPr>
                <w:rFonts w:hint="eastAsia" w:ascii="宋体" w:hAnsi="宋体" w:eastAsia="宋体" w:cs="宋体"/>
                <w:i w:val="0"/>
                <w:iCs w:val="0"/>
                <w:color w:val="auto"/>
                <w:sz w:val="24"/>
                <w:szCs w:val="24"/>
                <w:highlight w:val="none"/>
                <w:lang w:val="hr-HR"/>
              </w:rPr>
              <w:t>按四舍五入原则精确到小数点后两位。投标</w:t>
            </w:r>
            <w:r>
              <w:rPr>
                <w:rFonts w:hint="eastAsia" w:ascii="宋体" w:hAnsi="宋体" w:eastAsia="宋体" w:cs="宋体"/>
                <w:i w:val="0"/>
                <w:iCs w:val="0"/>
                <w:color w:val="auto"/>
                <w:sz w:val="24"/>
                <w:szCs w:val="24"/>
                <w:highlight w:val="none"/>
              </w:rPr>
              <w:t>报价应在合理范围之内，过低的投标报价可能被视为低于成本价而导致投标报价无效。</w:t>
            </w:r>
          </w:p>
          <w:p w14:paraId="3B6946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5.</w:t>
            </w:r>
            <w:r>
              <w:rPr>
                <w:rFonts w:hint="eastAsia" w:ascii="宋体" w:hAnsi="宋体" w:eastAsia="宋体" w:cs="宋体"/>
                <w:i w:val="0"/>
                <w:iCs w:val="0"/>
                <w:color w:val="auto"/>
                <w:sz w:val="24"/>
                <w:szCs w:val="24"/>
                <w:highlight w:val="none"/>
              </w:rPr>
              <w:t>由采购人按下列程序付款：</w:t>
            </w:r>
          </w:p>
          <w:p w14:paraId="549179C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第一期：合同生效后，根据采购人下达的每项具体工作，由采购人按照基准费用（不超过最高限价）及投标下浮率计算工作费用并形成交办函、签订具体项目委托协议，并向中标人支付该项工作费用的40%作为预付款；第二期：中标人完成受委托项目的规划调整工作，通过审批部门审批通过，且经广州市规划和自然资源局花都区分局审查通过结题后，合同约定的应由中标人履行的所有义务已经履行完毕，结算中标人完成的成果，由采购人向中标人具体项目委托合同尾款。</w:t>
            </w:r>
          </w:p>
          <w:p w14:paraId="47123CE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中标人凭以下有效文件与采购人结算：</w:t>
            </w:r>
          </w:p>
          <w:p w14:paraId="54BA0FF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1．</w:t>
            </w:r>
            <w:r>
              <w:rPr>
                <w:rFonts w:hint="eastAsia" w:ascii="宋体" w:hAnsi="宋体" w:eastAsia="宋体" w:cs="宋体"/>
                <w:i w:val="0"/>
                <w:iCs w:val="0"/>
                <w:color w:val="auto"/>
                <w:sz w:val="24"/>
                <w:szCs w:val="24"/>
                <w:highlight w:val="none"/>
              </w:rPr>
              <w:t>合同；</w:t>
            </w:r>
          </w:p>
          <w:p w14:paraId="645FE8B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中标人开具的正式发票；</w:t>
            </w:r>
          </w:p>
          <w:p w14:paraId="56238B4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中标通知书。</w:t>
            </w:r>
          </w:p>
          <w:p w14:paraId="41DFCA6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14:paraId="4D8FDCF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七、</w:t>
            </w:r>
            <w:r>
              <w:rPr>
                <w:rFonts w:hint="eastAsia" w:ascii="宋体" w:hAnsi="宋体" w:eastAsia="宋体" w:cs="宋体"/>
                <w:b/>
                <w:bCs/>
                <w:i w:val="0"/>
                <w:iCs w:val="0"/>
                <w:color w:val="auto"/>
                <w:sz w:val="24"/>
                <w:szCs w:val="24"/>
                <w:highlight w:val="none"/>
              </w:rPr>
              <w:t>附则</w:t>
            </w:r>
          </w:p>
          <w:p w14:paraId="28D95CC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第二十八条</w:t>
            </w:r>
            <w:r>
              <w:rPr>
                <w:rFonts w:hint="eastAsia" w:ascii="宋体" w:hAnsi="宋体" w:eastAsia="宋体" w:cs="宋体"/>
                <w:i w:val="0"/>
                <w:iCs w:val="0"/>
                <w:color w:val="auto"/>
                <w:sz w:val="24"/>
                <w:szCs w:val="24"/>
                <w:highlight w:val="none"/>
              </w:rPr>
              <w:t xml:space="preserve"> 本次规划成果的署名权归设计单位所有，版权归广州市花都区土地开发储备中心所有。广州市花都区土地开发储备中心有权在审查期间及审批后公开展示本次规划成果，并通过传播媒介、专业杂志、书刊或其它形式介绍、展示及评价规划成果。</w:t>
            </w:r>
          </w:p>
          <w:p w14:paraId="7D6836A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第二十九条</w:t>
            </w:r>
            <w:r>
              <w:rPr>
                <w:rFonts w:hint="eastAsia" w:ascii="宋体" w:hAnsi="宋体" w:eastAsia="宋体" w:cs="宋体"/>
                <w:i w:val="0"/>
                <w:iCs w:val="0"/>
                <w:color w:val="auto"/>
                <w:sz w:val="24"/>
                <w:szCs w:val="24"/>
                <w:highlight w:val="none"/>
                <w:lang w:val="en-US" w:eastAsia="zh-CN"/>
              </w:rPr>
              <w:t xml:space="preserve"> </w:t>
            </w:r>
            <w:r>
              <w:rPr>
                <w:rFonts w:hint="eastAsia" w:ascii="宋体" w:hAnsi="宋体" w:eastAsia="宋体" w:cs="宋体"/>
                <w:i w:val="0"/>
                <w:iCs w:val="0"/>
                <w:color w:val="auto"/>
                <w:sz w:val="24"/>
                <w:szCs w:val="24"/>
                <w:highlight w:val="none"/>
              </w:rPr>
              <w:t>本次规划委托实施单位及组织单位有权根据实际需要对规划成果进行综合、优化和修改。</w:t>
            </w:r>
          </w:p>
          <w:p w14:paraId="274F1E5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 xml:space="preserve">第三十条 </w:t>
            </w:r>
            <w:r>
              <w:rPr>
                <w:rFonts w:hint="eastAsia" w:ascii="宋体" w:hAnsi="宋体" w:eastAsia="宋体" w:cs="宋体"/>
                <w:i w:val="0"/>
                <w:iCs w:val="0"/>
                <w:color w:val="auto"/>
                <w:sz w:val="24"/>
                <w:szCs w:val="24"/>
                <w:highlight w:val="none"/>
              </w:rPr>
              <w:t>规划成果有下列情况之一者无效：</w:t>
            </w:r>
          </w:p>
          <w:p w14:paraId="33895B1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1．</w:t>
            </w:r>
            <w:r>
              <w:rPr>
                <w:rFonts w:hint="eastAsia" w:ascii="宋体" w:hAnsi="宋体" w:eastAsia="宋体" w:cs="宋体"/>
                <w:i w:val="0"/>
                <w:iCs w:val="0"/>
                <w:color w:val="auto"/>
                <w:sz w:val="24"/>
                <w:szCs w:val="24"/>
                <w:highlight w:val="none"/>
              </w:rPr>
              <w:t>提交的成果不符合本任务书规定的成果内容和格式；</w:t>
            </w:r>
          </w:p>
          <w:p w14:paraId="41E7185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未经组织单位同意而逾期送达；</w:t>
            </w:r>
          </w:p>
          <w:p w14:paraId="03504BF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有关交通调查数据和经济技术指标严重不实；</w:t>
            </w:r>
          </w:p>
          <w:p w14:paraId="4C56E8A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val="en-US" w:eastAsia="zh-CN"/>
              </w:rPr>
              <w:t>4．</w:t>
            </w:r>
            <w:r>
              <w:rPr>
                <w:rFonts w:hint="eastAsia" w:ascii="宋体" w:hAnsi="宋体" w:eastAsia="宋体" w:cs="宋体"/>
                <w:i w:val="0"/>
                <w:iCs w:val="0"/>
                <w:color w:val="auto"/>
                <w:sz w:val="24"/>
                <w:szCs w:val="24"/>
                <w:highlight w:val="none"/>
              </w:rPr>
              <w:t>图纸和文字辨认不清、内容不全、粗制滥造。</w:t>
            </w:r>
          </w:p>
          <w:p w14:paraId="10837E9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iCs/>
                <w:color w:val="auto"/>
                <w:sz w:val="24"/>
                <w:szCs w:val="24"/>
                <w:highlight w:val="none"/>
              </w:rPr>
            </w:pPr>
            <w:r>
              <w:rPr>
                <w:rFonts w:hint="eastAsia" w:ascii="宋体" w:hAnsi="宋体" w:eastAsia="宋体" w:cs="宋体"/>
                <w:b/>
                <w:bCs/>
                <w:i w:val="0"/>
                <w:iCs w:val="0"/>
                <w:color w:val="auto"/>
                <w:sz w:val="24"/>
                <w:szCs w:val="24"/>
                <w:highlight w:val="none"/>
                <w:lang w:val="en-US" w:eastAsia="zh-CN"/>
              </w:rPr>
              <w:t xml:space="preserve">第三十一条 </w:t>
            </w:r>
            <w:r>
              <w:rPr>
                <w:rFonts w:hint="eastAsia" w:ascii="宋体" w:hAnsi="宋体" w:eastAsia="宋体" w:cs="宋体"/>
                <w:i w:val="0"/>
                <w:iCs w:val="0"/>
                <w:color w:val="auto"/>
                <w:sz w:val="24"/>
                <w:szCs w:val="24"/>
                <w:highlight w:val="none"/>
              </w:rPr>
              <w:t>本规划任务书的解释权归广州市花都区土地开发储备中心所有。</w:t>
            </w:r>
          </w:p>
        </w:tc>
        <w:tc>
          <w:tcPr>
            <w:tcW w:w="3219" w:type="dxa"/>
            <w:gridSpan w:val="2"/>
            <w:vAlign w:val="center"/>
          </w:tcPr>
          <w:p w14:paraId="34F64520">
            <w:pPr>
              <w:autoSpaceDE w:val="0"/>
              <w:autoSpaceDN w:val="0"/>
              <w:spacing w:line="360" w:lineRule="auto"/>
              <w:jc w:val="both"/>
              <w:rPr>
                <w:rFonts w:hint="eastAsia" w:ascii="宋体" w:hAnsi="宋体" w:eastAsia="宋体" w:cs="宋体"/>
                <w:snapToGrid w:val="0"/>
                <w:sz w:val="24"/>
                <w:szCs w:val="24"/>
              </w:rPr>
            </w:pPr>
            <w:r>
              <w:rPr>
                <w:rFonts w:hint="eastAsia" w:ascii="宋体" w:hAnsi="宋体" w:eastAsia="宋体" w:cs="宋体"/>
                <w:snapToGrid w:val="0"/>
                <w:sz w:val="24"/>
                <w:szCs w:val="24"/>
                <w:lang w:val="en-US" w:eastAsia="zh-CN"/>
              </w:rPr>
              <w:t>规划</w:t>
            </w:r>
            <w:r>
              <w:rPr>
                <w:rFonts w:hint="eastAsia" w:ascii="宋体" w:hAnsi="宋体" w:eastAsia="宋体" w:cs="宋体"/>
                <w:snapToGrid w:val="0"/>
                <w:sz w:val="24"/>
                <w:szCs w:val="24"/>
              </w:rPr>
              <w:t>内容是否合理？</w:t>
            </w:r>
          </w:p>
          <w:p w14:paraId="467DE320">
            <w:pPr>
              <w:autoSpaceDE w:val="0"/>
              <w:autoSpaceDN w:val="0"/>
              <w:spacing w:line="360" w:lineRule="auto"/>
              <w:jc w:val="both"/>
              <w:rPr>
                <w:rFonts w:hint="eastAsia" w:ascii="宋体" w:hAnsi="宋体" w:eastAsia="宋体" w:cs="宋体"/>
                <w:snapToGrid w:val="0"/>
                <w:sz w:val="24"/>
                <w:szCs w:val="24"/>
              </w:rPr>
            </w:pPr>
            <w:r>
              <w:rPr>
                <w:rFonts w:hint="eastAsia" w:ascii="宋体" w:hAnsi="宋体" w:eastAsia="宋体" w:cs="宋体"/>
                <w:snapToGrid w:val="0"/>
                <w:sz w:val="24"/>
                <w:szCs w:val="24"/>
              </w:rPr>
              <w:t>□完全合理</w:t>
            </w:r>
          </w:p>
          <w:p w14:paraId="0E9DD931">
            <w:pPr>
              <w:autoSpaceDE w:val="0"/>
              <w:autoSpaceDN w:val="0"/>
              <w:spacing w:line="360" w:lineRule="auto"/>
              <w:jc w:val="both"/>
              <w:rPr>
                <w:rFonts w:hint="eastAsia" w:ascii="宋体" w:hAnsi="宋体" w:eastAsia="宋体" w:cs="宋体"/>
                <w:snapToGrid w:val="0"/>
                <w:sz w:val="24"/>
                <w:szCs w:val="24"/>
              </w:rPr>
            </w:pPr>
            <w:r>
              <w:rPr>
                <w:rFonts w:hint="eastAsia" w:ascii="宋体" w:hAnsi="宋体" w:eastAsia="宋体" w:cs="宋体"/>
                <w:snapToGrid w:val="0"/>
                <w:sz w:val="24"/>
                <w:szCs w:val="24"/>
              </w:rPr>
              <w:t>□完全不合理</w:t>
            </w:r>
          </w:p>
          <w:p w14:paraId="0EFBE0AA">
            <w:pPr>
              <w:autoSpaceDE w:val="0"/>
              <w:autoSpaceDN w:val="0"/>
              <w:spacing w:line="360" w:lineRule="auto"/>
              <w:jc w:val="both"/>
              <w:rPr>
                <w:rFonts w:hint="eastAsia" w:ascii="宋体" w:hAnsi="宋体" w:eastAsia="宋体" w:cs="宋体"/>
                <w:snapToGrid w:val="0"/>
                <w:sz w:val="24"/>
                <w:szCs w:val="24"/>
                <w:u w:val="single"/>
                <w:lang w:val="en-US" w:eastAsia="zh-CN"/>
              </w:rPr>
            </w:pPr>
            <w:r>
              <w:rPr>
                <w:rFonts w:hint="eastAsia" w:ascii="宋体" w:hAnsi="宋体" w:eastAsia="宋体" w:cs="宋体"/>
                <w:snapToGrid w:val="0"/>
                <w:sz w:val="24"/>
                <w:szCs w:val="24"/>
              </w:rPr>
              <w:t>理由是：</w:t>
            </w:r>
            <w:r>
              <w:rPr>
                <w:rFonts w:hint="eastAsia" w:ascii="宋体" w:hAnsi="宋体" w:eastAsia="宋体" w:cs="宋体"/>
                <w:snapToGrid w:val="0"/>
                <w:sz w:val="24"/>
                <w:szCs w:val="24"/>
                <w:u w:val="single"/>
                <w:lang w:val="en-US" w:eastAsia="zh-CN"/>
              </w:rPr>
              <w:t xml:space="preserve">              </w:t>
            </w:r>
          </w:p>
          <w:p w14:paraId="57ACDE2A">
            <w:pPr>
              <w:autoSpaceDE w:val="0"/>
              <w:autoSpaceDN w:val="0"/>
              <w:spacing w:line="360" w:lineRule="auto"/>
              <w:jc w:val="both"/>
              <w:rPr>
                <w:rFonts w:hint="eastAsia" w:ascii="宋体" w:hAnsi="宋体" w:eastAsia="宋体" w:cs="宋体"/>
                <w:i/>
                <w:iCs/>
                <w:color w:val="auto"/>
                <w:sz w:val="24"/>
                <w:szCs w:val="24"/>
                <w:highlight w:val="none"/>
              </w:rPr>
            </w:pPr>
            <w:r>
              <w:rPr>
                <w:rFonts w:hint="eastAsia" w:ascii="宋体" w:hAnsi="宋体" w:eastAsia="宋体" w:cs="宋体"/>
                <w:snapToGrid w:val="0"/>
                <w:sz w:val="24"/>
                <w:szCs w:val="24"/>
              </w:rPr>
              <w:t>建议：</w:t>
            </w:r>
            <w:r>
              <w:rPr>
                <w:rFonts w:hint="eastAsia" w:ascii="宋体" w:hAnsi="宋体" w:eastAsia="宋体" w:cs="宋体"/>
                <w:snapToGrid w:val="0"/>
                <w:sz w:val="24"/>
                <w:szCs w:val="24"/>
                <w:u w:val="single"/>
                <w:lang w:val="en-US" w:eastAsia="zh-CN"/>
              </w:rPr>
              <w:t xml:space="preserve">              </w:t>
            </w:r>
          </w:p>
        </w:tc>
      </w:tr>
      <w:tr w14:paraId="7D5D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006" w:type="dxa"/>
            <w:vAlign w:val="center"/>
          </w:tcPr>
          <w:p w14:paraId="6A3AC71A">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项目属性</w:t>
            </w:r>
          </w:p>
        </w:tc>
        <w:tc>
          <w:tcPr>
            <w:tcW w:w="5094" w:type="dxa"/>
            <w:gridSpan w:val="4"/>
            <w:vAlign w:val="center"/>
          </w:tcPr>
          <w:p w14:paraId="2132120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本项目是否适宜由中小企业提供，并专门面向中小企业采购</w:t>
            </w:r>
          </w:p>
        </w:tc>
        <w:tc>
          <w:tcPr>
            <w:tcW w:w="3219" w:type="dxa"/>
            <w:gridSpan w:val="2"/>
            <w:vAlign w:val="center"/>
          </w:tcPr>
          <w:p w14:paraId="7FEF752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 xml:space="preserve">□是  </w:t>
            </w:r>
          </w:p>
          <w:p w14:paraId="05332E5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snapToGrid w:val="0"/>
                <w:sz w:val="24"/>
                <w:szCs w:val="24"/>
              </w:rPr>
            </w:pPr>
            <w:r>
              <w:rPr>
                <w:rFonts w:hint="eastAsia" w:ascii="宋体" w:hAnsi="宋体" w:eastAsia="宋体" w:cs="宋体"/>
                <w:i w:val="0"/>
                <w:iCs/>
                <w:color w:val="auto"/>
                <w:sz w:val="24"/>
                <w:szCs w:val="24"/>
                <w:highlight w:val="none"/>
                <w:lang w:val="en-US" w:eastAsia="zh-CN"/>
              </w:rPr>
              <w:t>□否，原因说明</w:t>
            </w:r>
            <w:r>
              <w:rPr>
                <w:rFonts w:hint="eastAsia" w:ascii="宋体" w:hAnsi="宋体" w:eastAsia="宋体" w:cs="宋体"/>
                <w:i w:val="0"/>
                <w:iCs/>
                <w:color w:val="auto"/>
                <w:sz w:val="24"/>
                <w:szCs w:val="24"/>
                <w:highlight w:val="none"/>
                <w:u w:val="single"/>
                <w:lang w:val="en-US" w:eastAsia="zh-CN"/>
              </w:rPr>
              <w:t xml:space="preserve">        </w:t>
            </w:r>
            <w:r>
              <w:rPr>
                <w:rFonts w:ascii="仿宋" w:hAnsi="仿宋" w:eastAsia="仿宋"/>
                <w:sz w:val="28"/>
                <w:szCs w:val="28"/>
                <w:u w:val="single"/>
              </w:rPr>
              <w:t xml:space="preserve">                                    </w:t>
            </w:r>
          </w:p>
        </w:tc>
      </w:tr>
      <w:tr w14:paraId="5E921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006" w:type="dxa"/>
            <w:vMerge w:val="restart"/>
            <w:vAlign w:val="center"/>
          </w:tcPr>
          <w:p w14:paraId="6A945B1A">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建议</w:t>
            </w:r>
          </w:p>
        </w:tc>
        <w:tc>
          <w:tcPr>
            <w:tcW w:w="8313" w:type="dxa"/>
            <w:gridSpan w:val="6"/>
            <w:vAlign w:val="center"/>
          </w:tcPr>
          <w:p w14:paraId="77F7D15B">
            <w:pPr>
              <w:numPr>
                <w:ilvl w:val="0"/>
                <w:numId w:val="0"/>
              </w:numPr>
              <w:ind w:leftChars="0"/>
              <w:jc w:val="left"/>
              <w:rPr>
                <w:rFonts w:hint="eastAsia" w:ascii="宋体" w:hAnsi="宋体" w:eastAsia="宋体" w:cs="宋体"/>
                <w:i w:val="0"/>
                <w:iCs/>
                <w:color w:val="auto"/>
                <w:sz w:val="24"/>
                <w:szCs w:val="24"/>
                <w:highlight w:val="none"/>
                <w:lang w:val="en-US" w:eastAsia="zh-CN"/>
              </w:rPr>
            </w:pPr>
            <w:r>
              <w:rPr>
                <w:rFonts w:hint="eastAsia" w:ascii="宋体" w:hAnsi="宋体" w:eastAsia="宋体" w:cs="宋体"/>
                <w:i w:val="0"/>
                <w:iCs/>
                <w:color w:val="auto"/>
                <w:sz w:val="24"/>
                <w:szCs w:val="24"/>
                <w:highlight w:val="none"/>
                <w:lang w:val="en-US" w:eastAsia="zh-CN"/>
              </w:rPr>
              <w:t>1</w:t>
            </w:r>
            <w:r>
              <w:rPr>
                <w:rFonts w:hint="eastAsia" w:ascii="宋体" w:hAnsi="宋体" w:eastAsia="宋体" w:cs="宋体"/>
                <w:i w:val="0"/>
                <w:iCs/>
                <w:color w:val="auto"/>
                <w:sz w:val="24"/>
                <w:szCs w:val="24"/>
                <w:highlight w:val="none"/>
                <w:lang w:val="en-US"/>
              </w:rPr>
              <w:t>.</w:t>
            </w:r>
            <w:r>
              <w:rPr>
                <w:rFonts w:hint="eastAsia" w:ascii="宋体" w:hAnsi="宋体" w:eastAsia="宋体" w:cs="宋体"/>
                <w:i w:val="0"/>
                <w:iCs/>
                <w:color w:val="auto"/>
                <w:sz w:val="24"/>
                <w:szCs w:val="24"/>
                <w:highlight w:val="none"/>
              </w:rPr>
              <w:t>有利于项目实施的其他建议</w:t>
            </w:r>
          </w:p>
        </w:tc>
      </w:tr>
      <w:tr w14:paraId="375CF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1006" w:type="dxa"/>
            <w:vMerge w:val="continue"/>
            <w:vAlign w:val="center"/>
          </w:tcPr>
          <w:p w14:paraId="56C366A2">
            <w:pPr>
              <w:jc w:val="center"/>
              <w:rPr>
                <w:rFonts w:hint="eastAsia" w:ascii="宋体" w:hAnsi="宋体" w:eastAsia="宋体" w:cs="宋体"/>
                <w:b/>
                <w:bCs/>
                <w:sz w:val="24"/>
                <w:szCs w:val="24"/>
                <w:highlight w:val="none"/>
              </w:rPr>
            </w:pPr>
          </w:p>
        </w:tc>
        <w:tc>
          <w:tcPr>
            <w:tcW w:w="8313" w:type="dxa"/>
            <w:gridSpan w:val="6"/>
            <w:vAlign w:val="top"/>
          </w:tcPr>
          <w:p w14:paraId="400ECEFE">
            <w:pPr>
              <w:jc w:val="both"/>
              <w:rPr>
                <w:rFonts w:hint="eastAsia" w:ascii="宋体" w:hAnsi="宋体" w:eastAsia="宋体" w:cs="宋体"/>
                <w:i w:val="0"/>
                <w:iCs/>
                <w:color w:val="auto"/>
                <w:sz w:val="24"/>
                <w:szCs w:val="24"/>
                <w:highlight w:val="none"/>
                <w:u w:val="single"/>
                <w:lang w:val="en-US" w:eastAsia="zh-CN"/>
              </w:rPr>
            </w:pPr>
            <w:r>
              <w:rPr>
                <w:rFonts w:hint="eastAsia" w:ascii="宋体" w:hAnsi="宋体" w:eastAsia="宋体" w:cs="宋体"/>
                <w:i w:val="0"/>
                <w:iCs/>
                <w:color w:val="auto"/>
                <w:sz w:val="24"/>
                <w:szCs w:val="24"/>
                <w:highlight w:val="none"/>
                <w:lang w:val="en-US" w:eastAsia="zh-CN"/>
              </w:rPr>
              <w:t>答：</w:t>
            </w:r>
          </w:p>
        </w:tc>
      </w:tr>
    </w:tbl>
    <w:p w14:paraId="79A89C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注：按表格中要求的调查项，根据实际情况进行填写。贵单位可在“建议”处提出贵单位对本项目采购需求的意见或建议；若无任何意见或建议的，请在对应项处填写“无”。</w:t>
      </w:r>
    </w:p>
    <w:p w14:paraId="5B1AD571">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sz w:val="24"/>
          <w:szCs w:val="24"/>
          <w:highlight w:val="none"/>
        </w:rPr>
      </w:pPr>
    </w:p>
    <w:p w14:paraId="0CA75E8A">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sz w:val="24"/>
          <w:szCs w:val="24"/>
          <w:highlight w:val="none"/>
        </w:rPr>
      </w:pPr>
    </w:p>
    <w:p w14:paraId="74C38D6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auto"/>
        <w:rPr>
          <w:rFonts w:ascii="宋体" w:hAnsi="宋体" w:eastAsia="宋体" w:cs="宋体"/>
          <w:i/>
          <w:iCs/>
          <w:sz w:val="24"/>
          <w:szCs w:val="24"/>
          <w:highlight w:val="none"/>
        </w:rPr>
      </w:pPr>
      <w:r>
        <w:rPr>
          <w:rFonts w:hint="eastAsia" w:ascii="宋体" w:hAnsi="宋体" w:eastAsia="宋体" w:cs="宋体"/>
          <w:i w:val="0"/>
          <w:iCs w:val="0"/>
          <w:sz w:val="24"/>
          <w:szCs w:val="24"/>
          <w:highlight w:val="none"/>
        </w:rPr>
        <w:t>（</w:t>
      </w:r>
      <w:r>
        <w:rPr>
          <w:rFonts w:hint="eastAsia" w:ascii="宋体" w:hAnsi="宋体" w:eastAsia="宋体" w:cs="宋体"/>
          <w:i w:val="0"/>
          <w:iCs w:val="0"/>
          <w:sz w:val="24"/>
          <w:szCs w:val="24"/>
          <w:highlight w:val="none"/>
          <w:lang w:val="en-US" w:eastAsia="zh-CN"/>
        </w:rPr>
        <w:t>服务商</w:t>
      </w:r>
      <w:r>
        <w:rPr>
          <w:rFonts w:hint="eastAsia" w:ascii="宋体" w:hAnsi="宋体" w:eastAsia="宋体" w:cs="宋体"/>
          <w:i w:val="0"/>
          <w:iCs w:val="0"/>
          <w:sz w:val="24"/>
          <w:szCs w:val="24"/>
          <w:highlight w:val="none"/>
        </w:rPr>
        <w:t>名称）</w:t>
      </w:r>
    </w:p>
    <w:p w14:paraId="306335C2">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宋体" w:hAnsi="宋体" w:eastAsia="宋体" w:cs="宋体"/>
          <w:sz w:val="24"/>
          <w:szCs w:val="24"/>
          <w:highlight w:val="none"/>
        </w:rPr>
      </w:pPr>
      <w:r>
        <w:rPr>
          <w:rFonts w:hint="eastAsia" w:ascii="宋体" w:hAnsi="宋体" w:eastAsia="宋体" w:cs="宋体"/>
          <w:sz w:val="24"/>
          <w:szCs w:val="24"/>
          <w:highlight w:val="none"/>
        </w:rPr>
        <w:t>（盖章）</w:t>
      </w:r>
    </w:p>
    <w:p w14:paraId="2ECE6F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lang w:val="en-US" w:eastAsia="zh-CN"/>
        </w:rPr>
        <w:t>24</w:t>
      </w:r>
      <w:r>
        <w:rPr>
          <w:rFonts w:hint="eastAsia" w:ascii="宋体" w:hAnsi="宋体" w:eastAsia="宋体" w:cs="宋体"/>
          <w:color w:val="auto"/>
          <w:sz w:val="24"/>
          <w:szCs w:val="24"/>
          <w:highlight w:val="none"/>
        </w:rPr>
        <w:t>年</w:t>
      </w:r>
      <w:r>
        <w:rPr>
          <w:rFonts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t>月</w:t>
      </w:r>
      <w:r>
        <w:rPr>
          <w:rFonts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t>日</w:t>
      </w:r>
    </w:p>
    <w:sectPr>
      <w:footerReference r:id="rId3" w:type="default"/>
      <w:pgSz w:w="11906" w:h="16838"/>
      <w:pgMar w:top="1440" w:right="1286" w:bottom="1440" w:left="13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35A90">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D861A">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8D861A">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JiOGM4Nzc2NWIyMzQxMmM0ZGUxNWYxYTk1ZjNiMmIifQ=="/>
  </w:docVars>
  <w:rsids>
    <w:rsidRoot w:val="00E50788"/>
    <w:rsid w:val="00016C5A"/>
    <w:rsid w:val="0004484A"/>
    <w:rsid w:val="00046B38"/>
    <w:rsid w:val="00076A97"/>
    <w:rsid w:val="000964F3"/>
    <w:rsid w:val="001535D2"/>
    <w:rsid w:val="00157229"/>
    <w:rsid w:val="00191D51"/>
    <w:rsid w:val="00193B88"/>
    <w:rsid w:val="00196C8F"/>
    <w:rsid w:val="001B5D6B"/>
    <w:rsid w:val="001C57C6"/>
    <w:rsid w:val="001C7B06"/>
    <w:rsid w:val="001E780E"/>
    <w:rsid w:val="00280B54"/>
    <w:rsid w:val="002E0263"/>
    <w:rsid w:val="00357174"/>
    <w:rsid w:val="00385D0C"/>
    <w:rsid w:val="003951A3"/>
    <w:rsid w:val="003A245D"/>
    <w:rsid w:val="00441E4A"/>
    <w:rsid w:val="00486050"/>
    <w:rsid w:val="00495DF3"/>
    <w:rsid w:val="00511256"/>
    <w:rsid w:val="005408AB"/>
    <w:rsid w:val="005818BB"/>
    <w:rsid w:val="005E4603"/>
    <w:rsid w:val="005E52B7"/>
    <w:rsid w:val="00672F11"/>
    <w:rsid w:val="00676C31"/>
    <w:rsid w:val="00702CE2"/>
    <w:rsid w:val="007629DB"/>
    <w:rsid w:val="00772946"/>
    <w:rsid w:val="007B037D"/>
    <w:rsid w:val="007B41C8"/>
    <w:rsid w:val="007C3707"/>
    <w:rsid w:val="007C5C7D"/>
    <w:rsid w:val="007C7EE4"/>
    <w:rsid w:val="008044DD"/>
    <w:rsid w:val="00855ED1"/>
    <w:rsid w:val="008A70D1"/>
    <w:rsid w:val="008B6E3C"/>
    <w:rsid w:val="008F2DB3"/>
    <w:rsid w:val="0091618D"/>
    <w:rsid w:val="00945C6A"/>
    <w:rsid w:val="009B2183"/>
    <w:rsid w:val="009B534D"/>
    <w:rsid w:val="009E3AF9"/>
    <w:rsid w:val="009E5511"/>
    <w:rsid w:val="00A1094F"/>
    <w:rsid w:val="00A56259"/>
    <w:rsid w:val="00A60224"/>
    <w:rsid w:val="00A77359"/>
    <w:rsid w:val="00A904D5"/>
    <w:rsid w:val="00AD3FE1"/>
    <w:rsid w:val="00B170B4"/>
    <w:rsid w:val="00B262BD"/>
    <w:rsid w:val="00B27B6D"/>
    <w:rsid w:val="00B30601"/>
    <w:rsid w:val="00B43986"/>
    <w:rsid w:val="00BA2F70"/>
    <w:rsid w:val="00BB065D"/>
    <w:rsid w:val="00C56938"/>
    <w:rsid w:val="00C75E46"/>
    <w:rsid w:val="00CB2F1F"/>
    <w:rsid w:val="00D213A9"/>
    <w:rsid w:val="00D66EE2"/>
    <w:rsid w:val="00D86E75"/>
    <w:rsid w:val="00DC2D32"/>
    <w:rsid w:val="00DD0D3B"/>
    <w:rsid w:val="00DE39CB"/>
    <w:rsid w:val="00DF6CA3"/>
    <w:rsid w:val="00E12662"/>
    <w:rsid w:val="00E34C66"/>
    <w:rsid w:val="00E44190"/>
    <w:rsid w:val="00E50788"/>
    <w:rsid w:val="00E64DCD"/>
    <w:rsid w:val="00EA398A"/>
    <w:rsid w:val="00EC6FBB"/>
    <w:rsid w:val="00F17E41"/>
    <w:rsid w:val="00F241EE"/>
    <w:rsid w:val="00F405A6"/>
    <w:rsid w:val="00F56583"/>
    <w:rsid w:val="00F832CA"/>
    <w:rsid w:val="00FA1BF2"/>
    <w:rsid w:val="00FA6781"/>
    <w:rsid w:val="00FB5E8C"/>
    <w:rsid w:val="02667537"/>
    <w:rsid w:val="03B35E2A"/>
    <w:rsid w:val="07ED4792"/>
    <w:rsid w:val="092E5FA7"/>
    <w:rsid w:val="0C0C1342"/>
    <w:rsid w:val="0FC67B3E"/>
    <w:rsid w:val="11653AE0"/>
    <w:rsid w:val="14EF7848"/>
    <w:rsid w:val="15D7572C"/>
    <w:rsid w:val="162B6CC0"/>
    <w:rsid w:val="17621688"/>
    <w:rsid w:val="17E954C1"/>
    <w:rsid w:val="1BFA70E3"/>
    <w:rsid w:val="1D1C6601"/>
    <w:rsid w:val="1DD81A6D"/>
    <w:rsid w:val="206C6ADE"/>
    <w:rsid w:val="245D1602"/>
    <w:rsid w:val="253947D8"/>
    <w:rsid w:val="27ED2B6B"/>
    <w:rsid w:val="28C56A08"/>
    <w:rsid w:val="28CF2DFA"/>
    <w:rsid w:val="2AC50E63"/>
    <w:rsid w:val="2C61638A"/>
    <w:rsid w:val="2CF364CA"/>
    <w:rsid w:val="2F70684F"/>
    <w:rsid w:val="32154B5B"/>
    <w:rsid w:val="33360AF3"/>
    <w:rsid w:val="35006AD2"/>
    <w:rsid w:val="3BA2647D"/>
    <w:rsid w:val="3E6340D2"/>
    <w:rsid w:val="3F954262"/>
    <w:rsid w:val="3FF20104"/>
    <w:rsid w:val="43092072"/>
    <w:rsid w:val="442E2B89"/>
    <w:rsid w:val="45AC653A"/>
    <w:rsid w:val="46AD44FF"/>
    <w:rsid w:val="46FA0505"/>
    <w:rsid w:val="47C37366"/>
    <w:rsid w:val="48585503"/>
    <w:rsid w:val="48594B98"/>
    <w:rsid w:val="49E6605C"/>
    <w:rsid w:val="4AE90760"/>
    <w:rsid w:val="4BCE3924"/>
    <w:rsid w:val="4C785F34"/>
    <w:rsid w:val="4EB948E2"/>
    <w:rsid w:val="4EEE5506"/>
    <w:rsid w:val="50F1090E"/>
    <w:rsid w:val="524758F6"/>
    <w:rsid w:val="5270174A"/>
    <w:rsid w:val="53114443"/>
    <w:rsid w:val="54201B86"/>
    <w:rsid w:val="54AB2852"/>
    <w:rsid w:val="559F1D86"/>
    <w:rsid w:val="57F7045E"/>
    <w:rsid w:val="58A2271F"/>
    <w:rsid w:val="5ADF26A5"/>
    <w:rsid w:val="5B617EDA"/>
    <w:rsid w:val="5C8855A9"/>
    <w:rsid w:val="5C99163E"/>
    <w:rsid w:val="5DC668DD"/>
    <w:rsid w:val="5DCF5207"/>
    <w:rsid w:val="5DD62B9F"/>
    <w:rsid w:val="5F5F3876"/>
    <w:rsid w:val="5F8B27B2"/>
    <w:rsid w:val="601C0064"/>
    <w:rsid w:val="60591866"/>
    <w:rsid w:val="605A7E63"/>
    <w:rsid w:val="60E455D3"/>
    <w:rsid w:val="63220BEC"/>
    <w:rsid w:val="63B12B81"/>
    <w:rsid w:val="657D6BEF"/>
    <w:rsid w:val="65DE58E6"/>
    <w:rsid w:val="672B5804"/>
    <w:rsid w:val="67F94F4D"/>
    <w:rsid w:val="6CB11F92"/>
    <w:rsid w:val="6D661494"/>
    <w:rsid w:val="6DE1279B"/>
    <w:rsid w:val="6F0D6B7F"/>
    <w:rsid w:val="71367DFF"/>
    <w:rsid w:val="72624364"/>
    <w:rsid w:val="72CA3AB4"/>
    <w:rsid w:val="74BC5ADD"/>
    <w:rsid w:val="759F0CD3"/>
    <w:rsid w:val="75EC531A"/>
    <w:rsid w:val="765A3FFA"/>
    <w:rsid w:val="76B37ACA"/>
    <w:rsid w:val="76E870CF"/>
    <w:rsid w:val="78223436"/>
    <w:rsid w:val="79EF42AB"/>
    <w:rsid w:val="7A0C5E4E"/>
    <w:rsid w:val="7B345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3">
    <w:name w:val="Normal Indent"/>
    <w:basedOn w:val="1"/>
    <w:semiHidden/>
    <w:unhideWhenUsed/>
    <w:qFormat/>
    <w:uiPriority w:val="99"/>
    <w:pPr>
      <w:ind w:firstLine="420" w:firstLineChars="200"/>
    </w:pPr>
  </w:style>
  <w:style w:type="paragraph" w:styleId="4">
    <w:name w:val="annotation text"/>
    <w:basedOn w:val="1"/>
    <w:link w:val="21"/>
    <w:qFormat/>
    <w:uiPriority w:val="99"/>
    <w:pPr>
      <w:jc w:val="left"/>
    </w:pPr>
    <w:rPr>
      <w:rFonts w:ascii="Calibri" w:hAnsi="Calibri" w:eastAsia="宋体" w:cs="Times New Roman"/>
      <w:szCs w:val="24"/>
    </w:rPr>
  </w:style>
  <w:style w:type="paragraph" w:styleId="5">
    <w:name w:val="Body Text"/>
    <w:basedOn w:val="1"/>
    <w:next w:val="6"/>
    <w:qFormat/>
    <w:uiPriority w:val="0"/>
    <w:pPr>
      <w:spacing w:after="120"/>
    </w:pPr>
  </w:style>
  <w:style w:type="paragraph" w:styleId="6">
    <w:name w:val="Body Text 2"/>
    <w:basedOn w:val="1"/>
    <w:qFormat/>
    <w:uiPriority w:val="0"/>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Plain Text"/>
    <w:basedOn w:val="1"/>
    <w:qFormat/>
    <w:uiPriority w:val="99"/>
    <w:rPr>
      <w:rFonts w:ascii="宋体" w:hAnsi="Courier New"/>
    </w:rPr>
  </w:style>
  <w:style w:type="paragraph" w:styleId="10">
    <w:name w:val="Balloon Text"/>
    <w:basedOn w:val="1"/>
    <w:link w:val="22"/>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7"/>
    <w:next w:val="1"/>
    <w:qFormat/>
    <w:uiPriority w:val="0"/>
    <w:pPr>
      <w:widowControl/>
      <w:spacing w:after="120"/>
      <w:ind w:leftChars="200" w:firstLine="420" w:firstLineChars="200"/>
      <w:jc w:val="left"/>
    </w:pPr>
    <w:rPr>
      <w:rFonts w:ascii="Times New Roman" w:hAnsi="Times New Roman"/>
    </w:rPr>
  </w:style>
  <w:style w:type="table" w:styleId="15">
    <w:name w:val="Table Grid"/>
    <w:basedOn w:val="14"/>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annotation reference"/>
    <w:basedOn w:val="16"/>
    <w:qFormat/>
    <w:uiPriority w:val="99"/>
    <w:rPr>
      <w:sz w:val="21"/>
      <w:szCs w:val="21"/>
    </w:rPr>
  </w:style>
  <w:style w:type="paragraph" w:customStyle="1" w:styleId="18">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
    <w:name w:val="Table Paragraph"/>
    <w:basedOn w:val="1"/>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 w:type="character" w:customStyle="1" w:styleId="20">
    <w:name w:val="批注文字 字符"/>
    <w:basedOn w:val="16"/>
    <w:semiHidden/>
    <w:qFormat/>
    <w:uiPriority w:val="99"/>
  </w:style>
  <w:style w:type="character" w:customStyle="1" w:styleId="21">
    <w:name w:val="批注文字 字符1"/>
    <w:basedOn w:val="16"/>
    <w:link w:val="4"/>
    <w:qFormat/>
    <w:uiPriority w:val="99"/>
    <w:rPr>
      <w:rFonts w:ascii="Calibri" w:hAnsi="Calibri" w:eastAsia="宋体" w:cs="Times New Roman"/>
      <w:szCs w:val="24"/>
    </w:rPr>
  </w:style>
  <w:style w:type="character" w:customStyle="1" w:styleId="22">
    <w:name w:val="批注框文本 字符"/>
    <w:basedOn w:val="16"/>
    <w:link w:val="10"/>
    <w:semiHidden/>
    <w:qFormat/>
    <w:uiPriority w:val="99"/>
    <w:rPr>
      <w:sz w:val="18"/>
      <w:szCs w:val="18"/>
    </w:rPr>
  </w:style>
  <w:style w:type="character" w:customStyle="1" w:styleId="23">
    <w:name w:val="页眉 字符"/>
    <w:basedOn w:val="16"/>
    <w:link w:val="12"/>
    <w:qFormat/>
    <w:uiPriority w:val="99"/>
    <w:rPr>
      <w:sz w:val="18"/>
      <w:szCs w:val="18"/>
    </w:rPr>
  </w:style>
  <w:style w:type="character" w:customStyle="1" w:styleId="24">
    <w:name w:val="页脚 字符"/>
    <w:basedOn w:val="16"/>
    <w:link w:val="11"/>
    <w:qFormat/>
    <w:uiPriority w:val="99"/>
    <w:rPr>
      <w:sz w:val="18"/>
      <w:szCs w:val="18"/>
    </w:rPr>
  </w:style>
  <w:style w:type="paragraph" w:customStyle="1" w:styleId="25">
    <w:name w:val="列出段落1"/>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5389</Words>
  <Characters>5578</Characters>
  <Lines>11</Lines>
  <Paragraphs>3</Paragraphs>
  <TotalTime>0</TotalTime>
  <ScaleCrop>false</ScaleCrop>
  <LinksUpToDate>false</LinksUpToDate>
  <CharactersWithSpaces>5695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2021-08-19T07:00:00Z</dcterms:created>
  <dc:creator>华伦</dc:creator>
  <cp:lastModifiedBy>国和</cp:lastModifiedBy>
  <cp:lastPrinted>2023-07-05T03:03:00Z</cp:lastPrinted>
  <dcterms:modified xsi:type="dcterms:W3CDTF">2024-10-21T01:47:45Z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ECC786899E984EA0AA00FC8A2C0F77B6_13</vt:lpwstr>
  </property>
</Properties>
</file>