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705118">
      <w:pPr>
        <w:jc w:val="center"/>
        <w:rPr>
          <w:sz w:val="40"/>
          <w:szCs w:val="40"/>
        </w:rPr>
      </w:pPr>
      <w:r>
        <w:rPr>
          <w:sz w:val="40"/>
          <w:szCs w:val="40"/>
        </w:rPr>
        <w:t>用户需求书</w:t>
      </w:r>
    </w:p>
    <w:p w14:paraId="703BA667">
      <w:pPr>
        <w:numPr>
          <w:ilvl w:val="0"/>
          <w:numId w:val="1"/>
        </w:numPr>
        <w:spacing w:line="360" w:lineRule="auto"/>
        <w:ind w:firstLine="0"/>
        <w:jc w:val="center"/>
        <w:rPr>
          <w:b/>
          <w:sz w:val="30"/>
          <w:szCs w:val="30"/>
        </w:rPr>
      </w:pPr>
      <w:r>
        <w:rPr>
          <w:rFonts w:hint="eastAsia"/>
          <w:b/>
          <w:sz w:val="30"/>
          <w:szCs w:val="30"/>
        </w:rPr>
        <w:t>总则</w:t>
      </w:r>
    </w:p>
    <w:p w14:paraId="46B55E6E">
      <w:pPr>
        <w:pStyle w:val="9"/>
        <w:numPr>
          <w:ilvl w:val="0"/>
          <w:numId w:val="2"/>
        </w:numPr>
        <w:spacing w:line="360" w:lineRule="auto"/>
        <w:ind w:left="0" w:firstLine="480"/>
        <w:rPr>
          <w:rFonts w:ascii="宋体" w:hAnsi="宋体" w:cs="宋体"/>
          <w:sz w:val="24"/>
        </w:rPr>
      </w:pPr>
      <w:r>
        <w:rPr>
          <w:rFonts w:hint="eastAsia" w:ascii="宋体" w:hAnsi="宋体" w:cs="宋体"/>
          <w:sz w:val="24"/>
        </w:rPr>
        <w:t>为优化“一区一城一港一湾”产业发展新格局，落实城市发展需要，结合202</w:t>
      </w:r>
      <w:r>
        <w:rPr>
          <w:rFonts w:hint="eastAsia" w:ascii="宋体" w:hAnsi="宋体" w:cs="宋体"/>
          <w:sz w:val="24"/>
          <w:lang w:val="en-US" w:eastAsia="zh-CN"/>
        </w:rPr>
        <w:t>4</w:t>
      </w:r>
      <w:r>
        <w:rPr>
          <w:rFonts w:hint="eastAsia" w:ascii="宋体" w:hAnsi="宋体" w:cs="宋体"/>
          <w:sz w:val="24"/>
        </w:rPr>
        <w:t>-202</w:t>
      </w:r>
      <w:r>
        <w:rPr>
          <w:rFonts w:hint="eastAsia" w:ascii="宋体" w:hAnsi="宋体" w:cs="宋体"/>
          <w:sz w:val="24"/>
          <w:lang w:val="en-US" w:eastAsia="zh-CN"/>
        </w:rPr>
        <w:t>5</w:t>
      </w:r>
      <w:r>
        <w:rPr>
          <w:rFonts w:hint="eastAsia" w:ascii="宋体" w:hAnsi="宋体" w:cs="宋体"/>
          <w:sz w:val="24"/>
        </w:rPr>
        <w:t>年度花都区土地储备任务，拟开展202</w:t>
      </w:r>
      <w:r>
        <w:rPr>
          <w:rFonts w:hint="eastAsia" w:ascii="宋体" w:hAnsi="宋体" w:cs="宋体"/>
          <w:sz w:val="24"/>
          <w:lang w:val="en-US" w:eastAsia="zh-CN"/>
        </w:rPr>
        <w:t>4</w:t>
      </w:r>
      <w:r>
        <w:rPr>
          <w:rFonts w:hint="eastAsia" w:ascii="宋体" w:hAnsi="宋体" w:cs="宋体"/>
          <w:sz w:val="24"/>
        </w:rPr>
        <w:t>-202</w:t>
      </w:r>
      <w:r>
        <w:rPr>
          <w:rFonts w:hint="eastAsia" w:ascii="宋体" w:hAnsi="宋体" w:cs="宋体"/>
          <w:sz w:val="24"/>
          <w:lang w:val="en-US" w:eastAsia="zh-CN"/>
        </w:rPr>
        <w:t>5</w:t>
      </w:r>
      <w:r>
        <w:rPr>
          <w:rFonts w:hint="eastAsia" w:ascii="宋体" w:hAnsi="宋体" w:cs="宋体"/>
          <w:sz w:val="24"/>
        </w:rPr>
        <w:t>年度储备用地控规调整服务工作。</w:t>
      </w:r>
    </w:p>
    <w:p w14:paraId="428DDF0D">
      <w:pPr>
        <w:pStyle w:val="9"/>
        <w:numPr>
          <w:ilvl w:val="0"/>
          <w:numId w:val="2"/>
        </w:numPr>
        <w:spacing w:line="360" w:lineRule="auto"/>
        <w:ind w:left="0" w:firstLine="480"/>
        <w:rPr>
          <w:rFonts w:ascii="宋体" w:hAnsi="宋体" w:cs="宋体"/>
          <w:sz w:val="24"/>
        </w:rPr>
      </w:pPr>
      <w:r>
        <w:rPr>
          <w:rFonts w:hint="eastAsia" w:ascii="宋体" w:hAnsi="宋体" w:cs="宋体"/>
          <w:sz w:val="24"/>
        </w:rPr>
        <w:t>本规划调整项目的工作范围为花都区。</w:t>
      </w:r>
    </w:p>
    <w:p w14:paraId="5325BF76">
      <w:pPr>
        <w:pStyle w:val="9"/>
        <w:numPr>
          <w:ilvl w:val="0"/>
          <w:numId w:val="2"/>
        </w:numPr>
        <w:spacing w:line="360" w:lineRule="auto"/>
        <w:ind w:left="0" w:firstLine="480"/>
        <w:rPr>
          <w:rFonts w:ascii="宋体" w:hAnsi="宋体" w:cs="宋体"/>
          <w:sz w:val="24"/>
        </w:rPr>
      </w:pPr>
      <w:r>
        <w:rPr>
          <w:rFonts w:hint="eastAsia" w:ascii="宋体" w:hAnsi="宋体" w:cs="宋体"/>
          <w:sz w:val="24"/>
        </w:rPr>
        <w:t>本标段将依据《中华人民共和国政府采购法》相关规定，通过政府采购的方式，委托具备相应资质的服务单位完成。</w:t>
      </w:r>
      <w:bookmarkStart w:id="1" w:name="_GoBack"/>
      <w:bookmarkEnd w:id="1"/>
    </w:p>
    <w:p w14:paraId="2A612F7E">
      <w:pPr>
        <w:pStyle w:val="9"/>
        <w:numPr>
          <w:ilvl w:val="0"/>
          <w:numId w:val="2"/>
        </w:numPr>
        <w:spacing w:line="360" w:lineRule="auto"/>
        <w:ind w:left="0" w:firstLine="480"/>
        <w:rPr>
          <w:rFonts w:ascii="宋体" w:hAnsi="宋体" w:cs="宋体"/>
          <w:sz w:val="24"/>
        </w:rPr>
      </w:pPr>
      <w:r>
        <w:rPr>
          <w:rFonts w:hint="eastAsia" w:ascii="宋体" w:hAnsi="宋体" w:cs="宋体"/>
          <w:sz w:val="24"/>
        </w:rPr>
        <w:t>本次规划设计工作的服务期限为两年，自中标后签订合同之日起计算。服务期限内，由广州市花都区土地开发储备中心指定具体地块开展调规工作，最终按实际完成工作量结算费用。承接本标段的单位需按任务书规定要求和进度完成工作，并按约定的工作期限完成指定储备地块的规划调整并按程序通过有关部门审批。</w:t>
      </w:r>
    </w:p>
    <w:p w14:paraId="47D9C391">
      <w:pPr>
        <w:pStyle w:val="9"/>
        <w:numPr>
          <w:ilvl w:val="0"/>
          <w:numId w:val="2"/>
        </w:numPr>
        <w:spacing w:line="360" w:lineRule="auto"/>
        <w:ind w:left="0" w:firstLine="480"/>
        <w:rPr>
          <w:rFonts w:ascii="宋体" w:hAnsi="宋体" w:cs="宋体"/>
          <w:sz w:val="24"/>
        </w:rPr>
      </w:pPr>
      <w:r>
        <w:rPr>
          <w:rFonts w:hint="eastAsia" w:ascii="宋体" w:hAnsi="宋体" w:cs="宋体"/>
          <w:sz w:val="24"/>
        </w:rPr>
        <w:t>承接本规划任务的单位被视为承认本任务书所有条款，并按本文件规定的条款完成相关工作。</w:t>
      </w:r>
    </w:p>
    <w:p w14:paraId="15CC4D4F">
      <w:pPr>
        <w:numPr>
          <w:ilvl w:val="0"/>
          <w:numId w:val="1"/>
        </w:numPr>
        <w:spacing w:line="360" w:lineRule="auto"/>
        <w:ind w:firstLine="0"/>
        <w:jc w:val="center"/>
        <w:rPr>
          <w:b/>
          <w:sz w:val="30"/>
          <w:szCs w:val="30"/>
        </w:rPr>
      </w:pPr>
      <w:r>
        <w:rPr>
          <w:rFonts w:hint="eastAsia"/>
          <w:b/>
          <w:sz w:val="30"/>
          <w:szCs w:val="30"/>
        </w:rPr>
        <w:t>规划设计原则</w:t>
      </w:r>
    </w:p>
    <w:p w14:paraId="679B01E8">
      <w:pPr>
        <w:pStyle w:val="9"/>
        <w:numPr>
          <w:ilvl w:val="0"/>
          <w:numId w:val="2"/>
        </w:numPr>
        <w:spacing w:line="360" w:lineRule="auto"/>
        <w:ind w:left="0" w:firstLine="480"/>
        <w:rPr>
          <w:rFonts w:ascii="宋体" w:hAnsi="宋体" w:cs="宋体"/>
          <w:sz w:val="24"/>
        </w:rPr>
      </w:pPr>
      <w:r>
        <w:rPr>
          <w:rFonts w:hint="eastAsia" w:ascii="宋体" w:hAnsi="宋体" w:cs="宋体"/>
          <w:sz w:val="24"/>
        </w:rPr>
        <w:t>承上启下原则：充分落实广州市国土</w:t>
      </w:r>
      <w:r>
        <w:rPr>
          <w:rFonts w:ascii="宋体" w:hAnsi="宋体" w:cs="宋体"/>
          <w:sz w:val="24"/>
        </w:rPr>
        <w:t>空间总体规划、花都区发展大纲</w:t>
      </w:r>
      <w:r>
        <w:rPr>
          <w:rFonts w:hint="eastAsia" w:ascii="宋体" w:hAnsi="宋体" w:cs="宋体"/>
          <w:sz w:val="24"/>
        </w:rPr>
        <w:t>等上层次规划的要求，从</w:t>
      </w:r>
      <w:r>
        <w:rPr>
          <w:rFonts w:ascii="宋体" w:hAnsi="宋体" w:cs="宋体"/>
          <w:sz w:val="24"/>
        </w:rPr>
        <w:t>更大的范围考虑</w:t>
      </w:r>
      <w:r>
        <w:rPr>
          <w:rFonts w:hint="eastAsia" w:ascii="宋体" w:hAnsi="宋体" w:cs="宋体"/>
          <w:sz w:val="24"/>
        </w:rPr>
        <w:t>规划</w:t>
      </w:r>
      <w:r>
        <w:rPr>
          <w:rFonts w:ascii="宋体" w:hAnsi="宋体" w:cs="宋体"/>
          <w:sz w:val="24"/>
        </w:rPr>
        <w:t>的发展定位</w:t>
      </w:r>
      <w:r>
        <w:rPr>
          <w:rFonts w:hint="eastAsia" w:ascii="宋体" w:hAnsi="宋体" w:cs="宋体"/>
          <w:sz w:val="24"/>
        </w:rPr>
        <w:t>和功能</w:t>
      </w:r>
      <w:r>
        <w:rPr>
          <w:rFonts w:ascii="宋体" w:hAnsi="宋体" w:cs="宋体"/>
          <w:sz w:val="24"/>
        </w:rPr>
        <w:t>，建立</w:t>
      </w:r>
      <w:r>
        <w:rPr>
          <w:rFonts w:hint="eastAsia" w:ascii="宋体" w:hAnsi="宋体" w:cs="宋体"/>
          <w:sz w:val="24"/>
        </w:rPr>
        <w:t>地区清晰的发展路径</w:t>
      </w:r>
      <w:r>
        <w:rPr>
          <w:rFonts w:ascii="宋体" w:hAnsi="宋体" w:cs="宋体"/>
          <w:sz w:val="24"/>
        </w:rPr>
        <w:t>，提出具有较高可行性的发展策略</w:t>
      </w:r>
      <w:r>
        <w:rPr>
          <w:rFonts w:hint="eastAsia" w:ascii="宋体" w:hAnsi="宋体" w:cs="宋体"/>
          <w:sz w:val="24"/>
        </w:rPr>
        <w:t>，</w:t>
      </w:r>
      <w:r>
        <w:rPr>
          <w:rFonts w:ascii="宋体" w:hAnsi="宋体" w:cs="宋体"/>
          <w:sz w:val="24"/>
        </w:rPr>
        <w:t>引领该地区城市建设和产业转型升级。</w:t>
      </w:r>
    </w:p>
    <w:p w14:paraId="1BFD8129">
      <w:pPr>
        <w:pStyle w:val="9"/>
        <w:numPr>
          <w:ilvl w:val="0"/>
          <w:numId w:val="2"/>
        </w:numPr>
        <w:spacing w:line="360" w:lineRule="auto"/>
        <w:ind w:left="0" w:firstLine="480"/>
        <w:rPr>
          <w:rFonts w:ascii="宋体" w:hAnsi="宋体" w:cs="宋体"/>
          <w:sz w:val="24"/>
        </w:rPr>
      </w:pPr>
      <w:r>
        <w:rPr>
          <w:rFonts w:hint="eastAsia" w:ascii="宋体" w:hAnsi="宋体" w:cs="宋体"/>
          <w:sz w:val="24"/>
        </w:rPr>
        <w:t>以人为本原则：注重环境保护和开发利用相结合，体现可持续发展的要求。从人的尺度和出行需要出发，构建和谐、舒适的现代城市风貌。</w:t>
      </w:r>
    </w:p>
    <w:p w14:paraId="2A8958F8">
      <w:pPr>
        <w:pStyle w:val="9"/>
        <w:numPr>
          <w:ilvl w:val="0"/>
          <w:numId w:val="2"/>
        </w:numPr>
        <w:spacing w:line="360" w:lineRule="auto"/>
        <w:ind w:left="0" w:firstLine="480"/>
        <w:rPr>
          <w:rFonts w:ascii="宋体" w:hAnsi="宋体" w:cs="宋体"/>
          <w:sz w:val="24"/>
        </w:rPr>
      </w:pPr>
      <w:r>
        <w:rPr>
          <w:rFonts w:hint="eastAsia" w:ascii="宋体" w:hAnsi="宋体" w:cs="宋体"/>
          <w:sz w:val="24"/>
        </w:rPr>
        <w:t>“多规合一”原则：规划应综合协调国土空间规划、城市规划、土地利用总体规划与社会经济发展规划之间的关系，特别是注意建设用地在规模与空间布局上的衔接。</w:t>
      </w:r>
    </w:p>
    <w:p w14:paraId="60B116A7">
      <w:pPr>
        <w:pStyle w:val="9"/>
        <w:numPr>
          <w:ilvl w:val="0"/>
          <w:numId w:val="2"/>
        </w:numPr>
        <w:tabs>
          <w:tab w:val="left" w:pos="1320"/>
          <w:tab w:val="left" w:pos="1540"/>
        </w:tabs>
        <w:spacing w:line="360" w:lineRule="auto"/>
        <w:ind w:left="0" w:firstLine="480"/>
        <w:rPr>
          <w:rFonts w:ascii="宋体" w:hAnsi="宋体" w:cs="宋体"/>
          <w:sz w:val="24"/>
        </w:rPr>
      </w:pPr>
      <w:r>
        <w:rPr>
          <w:rFonts w:hint="eastAsia" w:ascii="宋体" w:hAnsi="宋体" w:cs="宋体"/>
          <w:sz w:val="24"/>
        </w:rPr>
        <w:t>精细化、品质化原则：按照“精细化、品质化”的要求，从人的尺度和出行需要出发，构建和谐、舒适的城市环境。</w:t>
      </w:r>
    </w:p>
    <w:p w14:paraId="234DE229">
      <w:pPr>
        <w:pStyle w:val="9"/>
        <w:numPr>
          <w:ilvl w:val="0"/>
          <w:numId w:val="2"/>
        </w:numPr>
        <w:tabs>
          <w:tab w:val="left" w:pos="1320"/>
          <w:tab w:val="left" w:pos="1540"/>
        </w:tabs>
        <w:spacing w:line="360" w:lineRule="auto"/>
        <w:ind w:left="0" w:firstLine="480"/>
        <w:rPr>
          <w:rFonts w:ascii="宋体" w:hAnsi="宋体" w:cs="宋体"/>
          <w:sz w:val="24"/>
        </w:rPr>
      </w:pPr>
      <w:r>
        <w:rPr>
          <w:rFonts w:hint="eastAsia" w:ascii="宋体" w:hAnsi="宋体" w:cs="宋体"/>
          <w:sz w:val="24"/>
        </w:rPr>
        <w:t>远近结合原则：规划应注重规划功能区的可持续发展，结合上层次规划要求，科学合理论证产业园区各阶段发展目标和规模，统一规划，分期实施。</w:t>
      </w:r>
    </w:p>
    <w:p w14:paraId="74B3E946">
      <w:pPr>
        <w:pStyle w:val="9"/>
        <w:numPr>
          <w:ilvl w:val="0"/>
          <w:numId w:val="2"/>
        </w:numPr>
        <w:tabs>
          <w:tab w:val="left" w:pos="1320"/>
          <w:tab w:val="left" w:pos="1540"/>
        </w:tabs>
        <w:spacing w:line="360" w:lineRule="auto"/>
        <w:ind w:left="0" w:firstLine="480"/>
        <w:rPr>
          <w:rFonts w:ascii="宋体" w:hAnsi="宋体" w:cs="宋体"/>
          <w:sz w:val="24"/>
        </w:rPr>
      </w:pPr>
      <w:r>
        <w:rPr>
          <w:rFonts w:hint="eastAsia" w:ascii="宋体" w:hAnsi="宋体" w:cs="宋体"/>
          <w:sz w:val="24"/>
        </w:rPr>
        <w:t>符合法规原则：遵循中华人民共和国各项有关城市规划与建筑设计规范，以及广东省和广州市相关行业的有关法律、法规和技术规范，成果应符合城乡规划“一张图”管理的“信息化”要求。</w:t>
      </w:r>
    </w:p>
    <w:p w14:paraId="4B98307D">
      <w:pPr>
        <w:numPr>
          <w:ilvl w:val="0"/>
          <w:numId w:val="1"/>
        </w:numPr>
        <w:spacing w:line="360" w:lineRule="auto"/>
        <w:ind w:firstLine="0"/>
        <w:jc w:val="center"/>
        <w:rPr>
          <w:b/>
          <w:sz w:val="30"/>
          <w:szCs w:val="30"/>
        </w:rPr>
      </w:pPr>
      <w:r>
        <w:rPr>
          <w:rFonts w:hint="eastAsia"/>
          <w:b/>
          <w:sz w:val="30"/>
          <w:szCs w:val="30"/>
        </w:rPr>
        <w:t>工作内容要求</w:t>
      </w:r>
    </w:p>
    <w:p w14:paraId="560C058B">
      <w:pPr>
        <w:pStyle w:val="9"/>
        <w:numPr>
          <w:ilvl w:val="0"/>
          <w:numId w:val="2"/>
        </w:numPr>
        <w:tabs>
          <w:tab w:val="left" w:pos="1320"/>
          <w:tab w:val="left" w:pos="1540"/>
        </w:tabs>
        <w:spacing w:line="360" w:lineRule="auto"/>
        <w:ind w:left="0" w:firstLine="480"/>
        <w:rPr>
          <w:rFonts w:ascii="宋体" w:hAnsi="宋体" w:cs="宋体"/>
          <w:sz w:val="24"/>
        </w:rPr>
      </w:pPr>
      <w:r>
        <w:rPr>
          <w:rFonts w:hint="eastAsia" w:ascii="宋体" w:hAnsi="宋体" w:cs="宋体"/>
          <w:sz w:val="24"/>
        </w:rPr>
        <w:t>花都区土地储备控制性详细规划编制工作，主要指广州市花都区土地开发储备中心下达的土地储备用地相关规划编制，包括控制性详细规划修改、控制性详细规划修正、交通影响评估、环境影响评估等内容，另外根据实际情况开展树木保护专章、历史文化遗产评估、洪涝安全评估及防洪排涝能力提升报告。</w:t>
      </w:r>
    </w:p>
    <w:p w14:paraId="3A5E0991">
      <w:pPr>
        <w:pStyle w:val="9"/>
        <w:numPr>
          <w:ilvl w:val="0"/>
          <w:numId w:val="2"/>
        </w:numPr>
        <w:tabs>
          <w:tab w:val="left" w:pos="1320"/>
          <w:tab w:val="left" w:pos="1540"/>
        </w:tabs>
        <w:spacing w:line="360" w:lineRule="auto"/>
        <w:ind w:left="0" w:firstLine="480"/>
        <w:rPr>
          <w:rFonts w:ascii="宋体" w:hAnsi="宋体" w:cs="宋体"/>
          <w:sz w:val="24"/>
        </w:rPr>
      </w:pPr>
      <w:r>
        <w:rPr>
          <w:rFonts w:hint="eastAsia" w:ascii="宋体" w:hAnsi="宋体" w:cs="宋体"/>
          <w:sz w:val="24"/>
        </w:rPr>
        <w:t>控制性详细规划修改</w:t>
      </w:r>
    </w:p>
    <w:p w14:paraId="2A5AF9D9">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规划依据与原则。说明规划编制的依据和原则，包括已审批的上层次规划、专项规划及其它相关规划，适用的法规、规范和其它依据，规划编制所遵循的主要原则等。</w:t>
      </w:r>
    </w:p>
    <w:p w14:paraId="2C00E4DC">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上层次规划情况。阐述已批准的城市总体规划、战略规划或者专项规划等上层次规划和其它相关规划对规划区范围的规划要求。</w:t>
      </w:r>
    </w:p>
    <w:p w14:paraId="1F7D5632">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规划调整说明。阐明本次规划对上一轮控制性详细规划的调整，说明调整依据、调整原因。</w:t>
      </w:r>
    </w:p>
    <w:p w14:paraId="760A61D1">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现状分析。在现状调查资料基础上，分析规划区现状社会经济、土地利用、公共服务设施、道路交通系统、绿地系统等方面的特征，解析问题及成因。</w:t>
      </w:r>
    </w:p>
    <w:p w14:paraId="029324E4">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用地布局。根据发展定位，从全区、规划区等层面统筹考虑的角度，分析影响规划区范围用地布局结构与功能组织的主要因素，检讨原控规土地利用规划方案，确定用地布局结构与功能组织，各类用地的分布、规模及规划要求。</w:t>
      </w:r>
    </w:p>
    <w:p w14:paraId="600904B1">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多规合一。按照“多规合一”原则，对涉及地区的国民经济和社会发展规划、土地利用总体规划和各类专项规划进行协调，重点在空间上与土地利用总体规划、环境保护规划进行协调。</w:t>
      </w:r>
    </w:p>
    <w:p w14:paraId="18EFBB6B">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地块及管理单元调整说明。按照规划控制的要求及项目具体情况，确定规划地块及规划管理单元的控制内容，包括：各地块的用地性质、开发强度、绿地率、建筑密度、配套设施数量等指标；各规划管理单元主导属性、总用地面积、总建筑面积、人口规模、公共服务设施、市政公用设施、绿地与广场以及文物保护等。根据实际情况，对控制指标进行必要的说明和论证。</w:t>
      </w:r>
    </w:p>
    <w:p w14:paraId="19AB8297">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开发强度和人口容量。结合地区的交通、设施承载力、航空限高等要求，结合周边的景观环境保护要求，综合确定各地块的开发强度和人口容量。</w:t>
      </w:r>
    </w:p>
    <w:p w14:paraId="7C7978AF">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公共服务设施规划。根据调整的用地性质和人口容量，重新评估规划地块、规划管理单元的公共服务设施的等级、数量、规模及控制要求。</w:t>
      </w:r>
    </w:p>
    <w:p w14:paraId="004E306F">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道路交通规划。根据上层次规划确定的控制及规划要求，处理好规划调整地块与周边道路衔接关系，对各类交通设施（含道路、公交、停车等）的布局、规模、用地范围等进行统筹安排；明确对原有规划道路的调整情况，并对调整原因进行详细说明。</w:t>
      </w:r>
    </w:p>
    <w:p w14:paraId="1AA182C9">
      <w:pPr>
        <w:pStyle w:val="4"/>
        <w:numPr>
          <w:ilvl w:val="0"/>
          <w:numId w:val="3"/>
        </w:numPr>
        <w:spacing w:line="360" w:lineRule="auto"/>
        <w:ind w:left="0" w:firstLine="243" w:firstLineChars="105"/>
        <w:rPr>
          <w:rFonts w:cs="仿宋_GB2312"/>
          <w:spacing w:val="-4"/>
          <w:sz w:val="24"/>
        </w:rPr>
      </w:pPr>
      <w:r>
        <w:rPr>
          <w:rFonts w:hint="eastAsia" w:cs="仿宋_GB2312"/>
          <w:spacing w:val="-4"/>
          <w:sz w:val="24"/>
        </w:rPr>
        <w:t>总平面概念方案。明确设计范围在区域层面的空间结构位置，提出整体的空间形态意向，对河流沿线、重要道路沿线重要节点、视廊、视点、视域等景观构成要素提出控制和引导要求，明确调整地块的总平面布局概念方案。</w:t>
      </w:r>
    </w:p>
    <w:p w14:paraId="26A68BB9">
      <w:pPr>
        <w:pStyle w:val="9"/>
        <w:numPr>
          <w:ilvl w:val="0"/>
          <w:numId w:val="2"/>
        </w:numPr>
        <w:tabs>
          <w:tab w:val="left" w:pos="1320"/>
          <w:tab w:val="left" w:pos="1540"/>
        </w:tabs>
        <w:spacing w:line="360" w:lineRule="auto"/>
        <w:ind w:left="0" w:firstLine="480"/>
        <w:rPr>
          <w:rFonts w:ascii="宋体" w:hAnsi="宋体" w:cs="宋体"/>
          <w:sz w:val="24"/>
        </w:rPr>
      </w:pPr>
      <w:r>
        <w:rPr>
          <w:rFonts w:hint="eastAsia" w:ascii="宋体" w:hAnsi="宋体" w:cs="宋体"/>
          <w:sz w:val="24"/>
        </w:rPr>
        <w:t>交通影响评估与环境影响评估</w:t>
      </w:r>
    </w:p>
    <w:p w14:paraId="7AF48373">
      <w:pPr>
        <w:pStyle w:val="4"/>
        <w:spacing w:line="360" w:lineRule="auto"/>
        <w:ind w:firstLine="464" w:firstLineChars="200"/>
        <w:rPr>
          <w:rFonts w:cs="仿宋_GB2312"/>
          <w:spacing w:val="-4"/>
          <w:sz w:val="24"/>
        </w:rPr>
      </w:pPr>
      <w:r>
        <w:rPr>
          <w:rFonts w:hint="eastAsia" w:cs="仿宋_GB2312"/>
          <w:spacing w:val="-4"/>
          <w:sz w:val="24"/>
        </w:rPr>
        <w:t>根据审批部门的要求，完成交通影响评估报告与环境影响评估报告，明确控规调整的可行性，评估成果形式需符合审议要求。</w:t>
      </w:r>
    </w:p>
    <w:p w14:paraId="1E7242CD">
      <w:pPr>
        <w:pStyle w:val="9"/>
        <w:numPr>
          <w:ilvl w:val="0"/>
          <w:numId w:val="2"/>
        </w:numPr>
        <w:tabs>
          <w:tab w:val="left" w:pos="1320"/>
          <w:tab w:val="left" w:pos="1540"/>
        </w:tabs>
        <w:spacing w:line="360" w:lineRule="auto"/>
        <w:ind w:left="0" w:firstLine="480"/>
        <w:rPr>
          <w:rFonts w:ascii="宋体" w:hAnsi="宋体" w:cs="宋体"/>
          <w:sz w:val="24"/>
        </w:rPr>
      </w:pPr>
      <w:r>
        <w:rPr>
          <w:rFonts w:hint="eastAsia" w:ascii="宋体" w:hAnsi="宋体" w:cs="宋体"/>
          <w:sz w:val="24"/>
        </w:rPr>
        <w:t>控制性详细规划修正</w:t>
      </w:r>
    </w:p>
    <w:p w14:paraId="18787351">
      <w:pPr>
        <w:spacing w:line="360" w:lineRule="auto"/>
        <w:ind w:firstLine="480" w:firstLineChars="200"/>
        <w:rPr>
          <w:sz w:val="24"/>
        </w:rPr>
      </w:pPr>
      <w:r>
        <w:rPr>
          <w:sz w:val="24"/>
        </w:rPr>
        <w:t>结合广州市市权下放</w:t>
      </w:r>
      <w:r>
        <w:rPr>
          <w:rFonts w:hint="eastAsia"/>
          <w:sz w:val="24"/>
        </w:rPr>
        <w:t>、简化审批流程的要求，</w:t>
      </w:r>
      <w:r>
        <w:rPr>
          <w:sz w:val="24"/>
        </w:rPr>
        <w:t>部分控规修改工作下放</w:t>
      </w:r>
      <w:r>
        <w:rPr>
          <w:rFonts w:hint="eastAsia"/>
          <w:sz w:val="24"/>
        </w:rPr>
        <w:t>各</w:t>
      </w:r>
      <w:r>
        <w:rPr>
          <w:sz w:val="24"/>
        </w:rPr>
        <w:t>区政府</w:t>
      </w:r>
      <w:r>
        <w:rPr>
          <w:rFonts w:hint="eastAsia"/>
          <w:sz w:val="24"/>
        </w:rPr>
        <w:t>，</w:t>
      </w:r>
      <w:r>
        <w:rPr>
          <w:sz w:val="24"/>
        </w:rPr>
        <w:t>按照控规修正进行审批</w:t>
      </w:r>
      <w:r>
        <w:rPr>
          <w:rFonts w:hint="eastAsia"/>
          <w:sz w:val="24"/>
        </w:rPr>
        <w:t>，</w:t>
      </w:r>
      <w:r>
        <w:rPr>
          <w:sz w:val="24"/>
        </w:rPr>
        <w:t>规划论证报告内容</w:t>
      </w:r>
      <w:r>
        <w:rPr>
          <w:rFonts w:hint="eastAsia"/>
          <w:sz w:val="24"/>
        </w:rPr>
        <w:t>仍按</w:t>
      </w:r>
      <w:r>
        <w:rPr>
          <w:sz w:val="24"/>
        </w:rPr>
        <w:t>控规修改成果</w:t>
      </w:r>
      <w:r>
        <w:rPr>
          <w:rFonts w:hint="eastAsia"/>
          <w:sz w:val="24"/>
        </w:rPr>
        <w:t>完成，</w:t>
      </w:r>
      <w:r>
        <w:rPr>
          <w:sz w:val="24"/>
        </w:rPr>
        <w:t>相关交通影响评估和环境影响评估</w:t>
      </w:r>
      <w:r>
        <w:rPr>
          <w:rFonts w:hint="eastAsia"/>
          <w:sz w:val="24"/>
        </w:rPr>
        <w:t>，</w:t>
      </w:r>
      <w:r>
        <w:rPr>
          <w:sz w:val="24"/>
        </w:rPr>
        <w:t>按相关部门要求</w:t>
      </w:r>
      <w:r>
        <w:rPr>
          <w:rFonts w:hint="eastAsia"/>
          <w:sz w:val="24"/>
        </w:rPr>
        <w:t>进行选做。</w:t>
      </w:r>
    </w:p>
    <w:p w14:paraId="673B614C">
      <w:pPr>
        <w:pStyle w:val="9"/>
        <w:numPr>
          <w:ilvl w:val="0"/>
          <w:numId w:val="2"/>
        </w:numPr>
        <w:tabs>
          <w:tab w:val="left" w:pos="1320"/>
          <w:tab w:val="left" w:pos="1540"/>
        </w:tabs>
        <w:spacing w:line="360" w:lineRule="auto"/>
        <w:ind w:left="0" w:firstLine="480"/>
        <w:rPr>
          <w:rFonts w:ascii="宋体" w:hAnsi="宋体" w:cs="宋体"/>
          <w:sz w:val="24"/>
        </w:rPr>
      </w:pPr>
      <w:r>
        <w:rPr>
          <w:rFonts w:hint="eastAsia" w:ascii="宋体" w:hAnsi="宋体" w:cs="宋体"/>
          <w:sz w:val="24"/>
        </w:rPr>
        <w:t>其他专项评估工作</w:t>
      </w:r>
    </w:p>
    <w:p w14:paraId="6C37CBA3">
      <w:pPr>
        <w:spacing w:line="360" w:lineRule="auto"/>
        <w:ind w:firstLine="480" w:firstLineChars="200"/>
        <w:rPr>
          <w:sz w:val="24"/>
        </w:rPr>
      </w:pPr>
      <w:r>
        <w:rPr>
          <w:rFonts w:hint="eastAsia"/>
          <w:sz w:val="24"/>
        </w:rPr>
        <w:t>按照规划审批要求需开展树木保护专章、历史文化遗产评估、洪涝安全评估及防洪排涝能力提升报告。</w:t>
      </w:r>
    </w:p>
    <w:p w14:paraId="57690AF3">
      <w:pPr>
        <w:keepNext/>
        <w:numPr>
          <w:ilvl w:val="0"/>
          <w:numId w:val="1"/>
        </w:numPr>
        <w:spacing w:line="360" w:lineRule="auto"/>
        <w:ind w:firstLine="0"/>
        <w:jc w:val="center"/>
        <w:rPr>
          <w:b/>
          <w:sz w:val="30"/>
          <w:szCs w:val="30"/>
        </w:rPr>
      </w:pPr>
      <w:r>
        <w:rPr>
          <w:rFonts w:hint="eastAsia"/>
          <w:b/>
          <w:sz w:val="30"/>
          <w:szCs w:val="30"/>
        </w:rPr>
        <w:t>规划成果要求</w:t>
      </w:r>
    </w:p>
    <w:p w14:paraId="7972903C">
      <w:pPr>
        <w:pStyle w:val="9"/>
        <w:numPr>
          <w:ilvl w:val="0"/>
          <w:numId w:val="2"/>
        </w:numPr>
        <w:tabs>
          <w:tab w:val="left" w:pos="1320"/>
          <w:tab w:val="left" w:pos="1540"/>
        </w:tabs>
        <w:spacing w:line="360" w:lineRule="auto"/>
        <w:ind w:left="0" w:firstLine="480"/>
        <w:rPr>
          <w:rFonts w:ascii="宋体" w:hAnsi="宋体" w:cs="宋体"/>
          <w:sz w:val="24"/>
        </w:rPr>
      </w:pPr>
      <w:r>
        <w:rPr>
          <w:rFonts w:hint="eastAsia" w:ascii="宋体" w:hAnsi="宋体" w:cs="宋体"/>
          <w:sz w:val="24"/>
        </w:rPr>
        <w:t xml:space="preserve"> 规划成果必须符合工作内容中有关章节规定的要求，并达到审批部门要求。</w:t>
      </w:r>
    </w:p>
    <w:p w14:paraId="5A78C149">
      <w:pPr>
        <w:pStyle w:val="9"/>
        <w:numPr>
          <w:ilvl w:val="0"/>
          <w:numId w:val="2"/>
        </w:numPr>
        <w:tabs>
          <w:tab w:val="left" w:pos="1320"/>
          <w:tab w:val="left" w:pos="1540"/>
        </w:tabs>
        <w:spacing w:line="360" w:lineRule="auto"/>
        <w:ind w:left="0" w:firstLine="482"/>
        <w:rPr>
          <w:rFonts w:ascii="宋体" w:hAnsi="宋体" w:cs="宋体"/>
          <w:sz w:val="24"/>
        </w:rPr>
      </w:pPr>
      <w:r>
        <w:rPr>
          <w:rFonts w:hint="eastAsia" w:ascii="宋体" w:hAnsi="宋体" w:cs="宋体"/>
          <w:b/>
          <w:bCs/>
          <w:sz w:val="24"/>
        </w:rPr>
        <w:t xml:space="preserve"> </w:t>
      </w:r>
      <w:r>
        <w:rPr>
          <w:rFonts w:hint="eastAsia" w:ascii="宋体" w:hAnsi="宋体" w:cs="宋体"/>
          <w:sz w:val="24"/>
        </w:rPr>
        <w:t>规划成果必须做到清晰、完整、表达准确，同类图纸规格应尽量统一。</w:t>
      </w:r>
    </w:p>
    <w:p w14:paraId="6DAA39DD">
      <w:pPr>
        <w:pStyle w:val="9"/>
        <w:numPr>
          <w:ilvl w:val="0"/>
          <w:numId w:val="2"/>
        </w:numPr>
        <w:tabs>
          <w:tab w:val="left" w:pos="1320"/>
          <w:tab w:val="left" w:pos="1540"/>
          <w:tab w:val="left" w:pos="1980"/>
        </w:tabs>
        <w:spacing w:line="360" w:lineRule="auto"/>
        <w:ind w:left="0" w:firstLine="480"/>
        <w:rPr>
          <w:rFonts w:ascii="宋体" w:hAnsi="宋体" w:cs="宋体"/>
          <w:sz w:val="24"/>
        </w:rPr>
      </w:pPr>
      <w:r>
        <w:rPr>
          <w:rFonts w:hint="eastAsia" w:ascii="宋体" w:hAnsi="宋体" w:cs="宋体"/>
          <w:sz w:val="24"/>
        </w:rPr>
        <w:t>根据审查环节的需要，在提交规划成果进行审查的每个环节，设计单位均应提供符合规划内容要求的图纸全本或简本，数量以满足审查要求为准，装订规格为A3（297×420mm）或A4（297×210mm）。</w:t>
      </w:r>
    </w:p>
    <w:p w14:paraId="396D0FFA">
      <w:pPr>
        <w:pStyle w:val="9"/>
        <w:numPr>
          <w:ilvl w:val="0"/>
          <w:numId w:val="2"/>
        </w:numPr>
        <w:tabs>
          <w:tab w:val="left" w:pos="1320"/>
          <w:tab w:val="left" w:pos="1540"/>
          <w:tab w:val="left" w:pos="1980"/>
        </w:tabs>
        <w:spacing w:line="360" w:lineRule="auto"/>
        <w:ind w:left="0" w:firstLine="480"/>
        <w:rPr>
          <w:rFonts w:ascii="宋体" w:hAnsi="宋体" w:cs="宋体"/>
          <w:sz w:val="24"/>
        </w:rPr>
      </w:pPr>
      <w:r>
        <w:rPr>
          <w:rFonts w:hint="eastAsia" w:ascii="宋体" w:hAnsi="宋体" w:cs="宋体"/>
          <w:sz w:val="24"/>
        </w:rPr>
        <w:t>设计成果电子文件要求：本规划全部设计成果均应按照广州市“多规合一”信息平台和城乡规划“一张图”信息平台建设的要求制作成电子文件。文本文件采用可编辑的原始（word或indesign或ppt排版文件）格式，图形文件采用AutoCad的dwg格式和JPG格式，以上电子文件要求提交光盘3套。</w:t>
      </w:r>
    </w:p>
    <w:p w14:paraId="20A237A3">
      <w:pPr>
        <w:numPr>
          <w:ilvl w:val="0"/>
          <w:numId w:val="1"/>
        </w:numPr>
        <w:spacing w:line="360" w:lineRule="auto"/>
        <w:ind w:firstLine="0"/>
        <w:jc w:val="center"/>
        <w:rPr>
          <w:b/>
          <w:sz w:val="30"/>
          <w:szCs w:val="30"/>
        </w:rPr>
      </w:pPr>
      <w:r>
        <w:rPr>
          <w:rFonts w:hint="eastAsia"/>
          <w:b/>
          <w:sz w:val="30"/>
          <w:szCs w:val="30"/>
        </w:rPr>
        <w:t>成果报送及审查规定</w:t>
      </w:r>
    </w:p>
    <w:p w14:paraId="6D1DD405">
      <w:pPr>
        <w:pStyle w:val="9"/>
        <w:numPr>
          <w:ilvl w:val="0"/>
          <w:numId w:val="2"/>
        </w:numPr>
        <w:tabs>
          <w:tab w:val="left" w:pos="1320"/>
          <w:tab w:val="left" w:pos="1540"/>
          <w:tab w:val="left" w:pos="1980"/>
        </w:tabs>
        <w:spacing w:line="360" w:lineRule="auto"/>
        <w:ind w:left="0" w:firstLine="480"/>
        <w:rPr>
          <w:rFonts w:ascii="宋体" w:hAnsi="宋体" w:cs="宋体"/>
          <w:sz w:val="24"/>
        </w:rPr>
      </w:pPr>
      <w:r>
        <w:rPr>
          <w:rFonts w:hint="eastAsia" w:ascii="宋体" w:hAnsi="宋体" w:cs="宋体"/>
          <w:sz w:val="24"/>
        </w:rPr>
        <w:t>规划设计单位需负责提供各审查阶段所必需的成果、方案介绍等汇报资料。</w:t>
      </w:r>
    </w:p>
    <w:p w14:paraId="4DBB7374">
      <w:pPr>
        <w:pStyle w:val="9"/>
        <w:numPr>
          <w:ilvl w:val="0"/>
          <w:numId w:val="2"/>
        </w:numPr>
        <w:tabs>
          <w:tab w:val="left" w:pos="1320"/>
          <w:tab w:val="left" w:pos="1540"/>
          <w:tab w:val="left" w:pos="1980"/>
        </w:tabs>
        <w:spacing w:line="360" w:lineRule="auto"/>
        <w:ind w:left="0" w:firstLine="480"/>
        <w:rPr>
          <w:rFonts w:ascii="宋体" w:hAnsi="宋体" w:cs="宋体"/>
          <w:sz w:val="24"/>
        </w:rPr>
      </w:pPr>
      <w:r>
        <w:rPr>
          <w:rFonts w:hint="eastAsia" w:ascii="宋体" w:hAnsi="宋体" w:cs="宋体"/>
          <w:sz w:val="24"/>
        </w:rPr>
        <w:t>各阶段成果报送的规划设计文件，规划设计单位必须于审查前3天提交广州市规划和自然资源局花都区分局及广州市花都区土地开发储备中心，经清点文件后签收登记。</w:t>
      </w:r>
    </w:p>
    <w:p w14:paraId="1A721535">
      <w:pPr>
        <w:pStyle w:val="9"/>
        <w:numPr>
          <w:ilvl w:val="0"/>
          <w:numId w:val="2"/>
        </w:numPr>
        <w:tabs>
          <w:tab w:val="left" w:pos="1320"/>
          <w:tab w:val="left" w:pos="1540"/>
          <w:tab w:val="left" w:pos="1980"/>
        </w:tabs>
        <w:spacing w:line="360" w:lineRule="auto"/>
        <w:ind w:left="0" w:firstLine="480"/>
        <w:rPr>
          <w:rFonts w:ascii="宋体" w:hAnsi="宋体" w:cs="宋体"/>
          <w:sz w:val="24"/>
        </w:rPr>
      </w:pPr>
      <w:r>
        <w:rPr>
          <w:rFonts w:hint="eastAsia" w:ascii="宋体" w:hAnsi="宋体" w:cs="宋体"/>
          <w:sz w:val="24"/>
        </w:rPr>
        <w:t>规划设计单位提交的成果应在方案图纸和文本缩印本上标注委托单位名称、设计单位名称、设计人员名单、法定代表人（或法定代表人委托代理人），并盖印公章。</w:t>
      </w:r>
    </w:p>
    <w:p w14:paraId="589CEE2A">
      <w:pPr>
        <w:pStyle w:val="9"/>
        <w:numPr>
          <w:ilvl w:val="0"/>
          <w:numId w:val="2"/>
        </w:numPr>
        <w:tabs>
          <w:tab w:val="left" w:pos="1320"/>
          <w:tab w:val="left" w:pos="1540"/>
          <w:tab w:val="left" w:pos="1980"/>
        </w:tabs>
        <w:spacing w:line="360" w:lineRule="auto"/>
        <w:ind w:left="0" w:firstLine="480"/>
        <w:rPr>
          <w:rFonts w:ascii="宋体" w:hAnsi="宋体" w:cs="宋体"/>
          <w:sz w:val="24"/>
        </w:rPr>
      </w:pPr>
      <w:r>
        <w:rPr>
          <w:rFonts w:hint="eastAsia" w:ascii="宋体" w:hAnsi="宋体" w:cs="宋体"/>
          <w:sz w:val="24"/>
        </w:rPr>
        <w:t>项目的规划调整通过审批部门批准，成果材料经广州市规划和自然资源局花都区分局技术审查同意并予以结题。技术服务单位凭结题材料及最终成果文件向广州市花都区土地开发储备中心结算资金。</w:t>
      </w:r>
    </w:p>
    <w:p w14:paraId="37C2B2F2">
      <w:pPr>
        <w:pStyle w:val="9"/>
        <w:numPr>
          <w:ilvl w:val="0"/>
          <w:numId w:val="2"/>
        </w:numPr>
        <w:tabs>
          <w:tab w:val="left" w:pos="1320"/>
          <w:tab w:val="left" w:pos="1540"/>
          <w:tab w:val="left" w:pos="1980"/>
        </w:tabs>
        <w:spacing w:line="360" w:lineRule="auto"/>
        <w:ind w:left="0" w:firstLine="480"/>
        <w:rPr>
          <w:rFonts w:ascii="宋体" w:hAnsi="宋体" w:cs="宋体"/>
          <w:sz w:val="24"/>
        </w:rPr>
      </w:pPr>
      <w:r>
        <w:rPr>
          <w:rFonts w:hint="eastAsia" w:ascii="宋体" w:hAnsi="宋体" w:cs="宋体"/>
          <w:sz w:val="24"/>
        </w:rPr>
        <w:t>单个项目原则上需在接受委托起半年内完成规划调整，确因审查原因、具体地块复杂或其他非技术服务单位原因造成无法按期完成的，项目完成的时间可适当延后。具体时间由规划设计单位与规划组织单位协商确定。</w:t>
      </w:r>
    </w:p>
    <w:p w14:paraId="3A89928A">
      <w:pPr>
        <w:numPr>
          <w:ilvl w:val="0"/>
          <w:numId w:val="1"/>
        </w:numPr>
        <w:spacing w:line="360" w:lineRule="auto"/>
        <w:ind w:firstLine="0"/>
        <w:jc w:val="center"/>
        <w:rPr>
          <w:b/>
          <w:sz w:val="30"/>
          <w:szCs w:val="30"/>
        </w:rPr>
      </w:pPr>
      <w:r>
        <w:rPr>
          <w:rFonts w:hint="eastAsia"/>
          <w:b/>
          <w:sz w:val="30"/>
          <w:szCs w:val="30"/>
        </w:rPr>
        <w:t>费用结算</w:t>
      </w:r>
    </w:p>
    <w:p w14:paraId="5448D6C9">
      <w:pPr>
        <w:pStyle w:val="9"/>
        <w:numPr>
          <w:ilvl w:val="0"/>
          <w:numId w:val="2"/>
        </w:numPr>
        <w:tabs>
          <w:tab w:val="left" w:pos="1320"/>
          <w:tab w:val="left" w:pos="1540"/>
          <w:tab w:val="left" w:pos="1980"/>
        </w:tabs>
        <w:spacing w:line="360" w:lineRule="auto"/>
        <w:ind w:left="0" w:firstLine="480"/>
        <w:rPr>
          <w:rFonts w:ascii="宋体" w:hAnsi="宋体" w:cs="宋体"/>
          <w:sz w:val="24"/>
        </w:rPr>
      </w:pPr>
      <w:r>
        <w:rPr>
          <w:rFonts w:hint="eastAsia" w:ascii="宋体" w:hAnsi="宋体" w:cs="宋体"/>
          <w:sz w:val="24"/>
        </w:rPr>
        <w:t>费用总控制价</w:t>
      </w:r>
    </w:p>
    <w:p w14:paraId="6ACCFDD4">
      <w:pPr>
        <w:spacing w:line="360" w:lineRule="auto"/>
        <w:ind w:firstLine="480" w:firstLineChars="200"/>
        <w:rPr>
          <w:rFonts w:ascii="宋体" w:hAnsi="宋体" w:eastAsia="宋体" w:cs="宋体"/>
          <w:sz w:val="24"/>
        </w:rPr>
      </w:pPr>
      <w:r>
        <w:rPr>
          <w:rFonts w:hint="eastAsia"/>
          <w:sz w:val="24"/>
        </w:rPr>
        <w:t>费用总控制价为人民</w:t>
      </w:r>
      <w:r>
        <w:rPr>
          <w:rFonts w:hint="eastAsia" w:ascii="宋体" w:hAnsi="宋体" w:eastAsia="宋体" w:cs="宋体"/>
          <w:sz w:val="24"/>
        </w:rPr>
        <w:t>币3000万元整（含税）。</w:t>
      </w:r>
    </w:p>
    <w:p w14:paraId="21ECA491">
      <w:pPr>
        <w:pStyle w:val="9"/>
        <w:numPr>
          <w:ilvl w:val="0"/>
          <w:numId w:val="2"/>
        </w:numPr>
        <w:tabs>
          <w:tab w:val="left" w:pos="1320"/>
          <w:tab w:val="left" w:pos="1540"/>
          <w:tab w:val="left" w:pos="1980"/>
        </w:tabs>
        <w:spacing w:line="360" w:lineRule="auto"/>
        <w:ind w:left="0" w:firstLine="480"/>
        <w:rPr>
          <w:rFonts w:ascii="宋体" w:hAnsi="宋体" w:cs="宋体"/>
          <w:sz w:val="24"/>
        </w:rPr>
      </w:pPr>
      <w:r>
        <w:rPr>
          <w:rFonts w:hint="eastAsia" w:ascii="宋体" w:hAnsi="宋体" w:cs="宋体"/>
          <w:sz w:val="24"/>
        </w:rPr>
        <w:t>报价方式与支付方式</w:t>
      </w:r>
    </w:p>
    <w:p w14:paraId="70BEBDFE">
      <w:pPr>
        <w:numPr>
          <w:ilvl w:val="0"/>
          <w:numId w:val="4"/>
        </w:numPr>
        <w:tabs>
          <w:tab w:val="left" w:pos="420"/>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本项目总金额为3000万元（含税），服务期限两年，按照采购人具体委托实施项目进行结算。单个项目基准费用参照《广东省城市规划收费标准的建议》（行业指导价，2003）的有关规定执行，但不超过本条第2点规定的最高限价；特殊情况，可由采购人与中标人另行协商确定。</w:t>
      </w:r>
    </w:p>
    <w:p w14:paraId="18853450">
      <w:pPr>
        <w:numPr>
          <w:ilvl w:val="0"/>
          <w:numId w:val="4"/>
        </w:numPr>
        <w:tabs>
          <w:tab w:val="left" w:pos="420"/>
        </w:tabs>
        <w:spacing w:line="360" w:lineRule="auto"/>
        <w:ind w:left="0" w:firstLine="480" w:firstLineChars="200"/>
        <w:rPr>
          <w:rFonts w:asciiTheme="minorEastAsia" w:hAnsiTheme="minorEastAsia" w:cstheme="minorEastAsia"/>
          <w:sz w:val="24"/>
        </w:rPr>
      </w:pPr>
      <w:bookmarkStart w:id="0" w:name="_Hlk92707525"/>
      <w:r>
        <w:rPr>
          <w:rFonts w:hint="eastAsia" w:asciiTheme="minorEastAsia" w:hAnsiTheme="minorEastAsia" w:cstheme="minorEastAsia"/>
          <w:sz w:val="24"/>
        </w:rPr>
        <w:t>最高限价：</w:t>
      </w:r>
    </w:p>
    <w:p w14:paraId="1A081C27">
      <w:pPr>
        <w:numPr>
          <w:ilvl w:val="0"/>
          <w:numId w:val="5"/>
        </w:numPr>
        <w:tabs>
          <w:tab w:val="left" w:pos="420"/>
          <w:tab w:val="left" w:pos="840"/>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控制性详细规划修改业务：单个规划管理单元内控规调整项目，如需编制环境影响报告书，则单个项目总费用不高于122万元（含环境影响报告书+交通影响评估篇章），如项目需编制环境影响篇章，则单个项目不高于97万元（含环境影响篇章+交通影响评估篇章）；涉及多个规划管理单元片区控规调整项目（规划管理单元超过1个的且面积超过200公顷），每个项目总费用不高于196万（含环境影响报告书+交通影响评估），如项目需编制环境影响篇章，则每个项目不高于171万元（含环境影响篇章+交通影响评估篇章）。</w:t>
      </w:r>
    </w:p>
    <w:p w14:paraId="6E77DA5A">
      <w:pPr>
        <w:numPr>
          <w:ilvl w:val="0"/>
          <w:numId w:val="5"/>
        </w:numPr>
        <w:tabs>
          <w:tab w:val="left" w:pos="846"/>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控制性详细规划修正项目：工业用地不高于50万元/个（含交评环评），居住、商业等其他用用地不高于60万元/个（含交评环评）。</w:t>
      </w:r>
    </w:p>
    <w:p w14:paraId="60B9157C">
      <w:pPr>
        <w:numPr>
          <w:ilvl w:val="0"/>
          <w:numId w:val="5"/>
        </w:numPr>
        <w:tabs>
          <w:tab w:val="left" w:pos="846"/>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若需开展树木保护专章，其计费标准参照《广东省城市规划收费标准的建议》（行业指导价，2003）：规划范围不大于2平方公里，报价21万元。规划范围超过2平方公里，按照上述价格的2倍计费。即报价42万元。</w:t>
      </w:r>
    </w:p>
    <w:p w14:paraId="5BF26E68">
      <w:pPr>
        <w:numPr>
          <w:ilvl w:val="0"/>
          <w:numId w:val="5"/>
        </w:numPr>
        <w:tabs>
          <w:tab w:val="left" w:pos="846"/>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若需开展历史文化遗产评估，其计费标准参照《广东省城市规划收费标准的建议》（行业指导价，2003）：规划范围不大于2平方公里，报价21万元。规划范围超过2平方公里，按照上述价格的2倍计费。即报价42万元（计费同上）。</w:t>
      </w:r>
    </w:p>
    <w:p w14:paraId="180FD3BB">
      <w:pPr>
        <w:numPr>
          <w:ilvl w:val="0"/>
          <w:numId w:val="5"/>
        </w:numPr>
        <w:tabs>
          <w:tab w:val="left" w:pos="846"/>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若需开展洪涝安全评估，其计费标准参照《广州市花都区储备地块洪涝安全评估项目》（2022年合同）：按广州市水务局出具符合性审查意见计费，考虑新增竖向规划工作量时，控规单元面积≤10公顷的，费用为18万元。10公顷＜控规管理单元面积≤50公顷的，费用为35万元。控规单元面积＞50公顷部分，每超1公顷按3000元进行结算。</w:t>
      </w:r>
    </w:p>
    <w:p w14:paraId="5B762087">
      <w:pPr>
        <w:tabs>
          <w:tab w:val="left" w:pos="846"/>
        </w:tabs>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另，由花都区水务局出具符合性审查意见的洪涝安全评估项目，考虑新增竖向规划工作量时，控规单元面积≤10公顷的，费用为12万元；10公顷＜控规管理单元面积≤50公顷的，费用为24万元；控规单元面积＞50公顷部分，每超1公顷按1800元进行结算。</w:t>
      </w:r>
    </w:p>
    <w:p w14:paraId="0252C485">
      <w:pPr>
        <w:numPr>
          <w:ilvl w:val="0"/>
          <w:numId w:val="5"/>
        </w:numPr>
        <w:tabs>
          <w:tab w:val="left" w:pos="846"/>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若需开展防洪排涝能力提升报告，其计费标准参照《广东省城市规划收费标准的建议》（行业指导价，2003）：规划范围不大于2平方公里，收费予以七折优惠，即报价为21万元；规划范围超过2平方公里，按照上述价格的2倍计费，即报价42万元。</w:t>
      </w:r>
    </w:p>
    <w:p w14:paraId="777AC948">
      <w:pPr>
        <w:numPr>
          <w:ilvl w:val="0"/>
          <w:numId w:val="5"/>
        </w:numPr>
        <w:tabs>
          <w:tab w:val="left" w:pos="846"/>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上述业务按照规划审批要求需开展交通影响评估与环境影响评估，交通影响评估与环境影响评估不再另行计费；如项目涉及以上（3）—（6）所列专项评估据实结算。</w:t>
      </w:r>
    </w:p>
    <w:bookmarkEnd w:id="0"/>
    <w:p w14:paraId="4CCAEED4">
      <w:pPr>
        <w:numPr>
          <w:ilvl w:val="0"/>
          <w:numId w:val="4"/>
        </w:numPr>
        <w:tabs>
          <w:tab w:val="left" w:pos="420"/>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本项目投标人须以投标下浮率的形式进行报价，统一对本项目所有服务内容报一个投标下浮率，不接受有选择性报价，投标下浮率必须为固定值（如10%），不得存在区间值（如10-20%），所报的投标下浮率应当适用于采购人所采购的每项服务，否则投标无效。</w:t>
      </w:r>
    </w:p>
    <w:p w14:paraId="32AF373F">
      <w:pPr>
        <w:numPr>
          <w:ilvl w:val="0"/>
          <w:numId w:val="4"/>
        </w:numPr>
        <w:tabs>
          <w:tab w:val="left" w:pos="420"/>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0％≤投标下浮率≤100％，结算费用=单个项目基准费用×（1-中标下浮率），最终的</w:t>
      </w:r>
      <w:r>
        <w:rPr>
          <w:rFonts w:hint="eastAsia" w:asciiTheme="minorEastAsia" w:hAnsiTheme="minorEastAsia" w:cstheme="minorEastAsia"/>
          <w:sz w:val="24"/>
          <w:lang w:val="hr-HR"/>
        </w:rPr>
        <w:t>结算</w:t>
      </w:r>
      <w:r>
        <w:rPr>
          <w:rFonts w:hint="eastAsia" w:asciiTheme="minorEastAsia" w:hAnsiTheme="minorEastAsia" w:cstheme="minorEastAsia"/>
          <w:sz w:val="24"/>
        </w:rPr>
        <w:t>金额</w:t>
      </w:r>
      <w:r>
        <w:rPr>
          <w:rFonts w:hint="eastAsia" w:asciiTheme="minorEastAsia" w:hAnsiTheme="minorEastAsia" w:cstheme="minorEastAsia"/>
          <w:sz w:val="24"/>
          <w:lang w:val="hr-HR"/>
        </w:rPr>
        <w:t>按四舍五入原则精确到小数点后两位。投标</w:t>
      </w:r>
      <w:r>
        <w:rPr>
          <w:rFonts w:hint="eastAsia" w:asciiTheme="minorEastAsia" w:hAnsiTheme="minorEastAsia" w:cstheme="minorEastAsia"/>
          <w:sz w:val="24"/>
        </w:rPr>
        <w:t>报价应在合理范围之内，过低的投标报价可能被视为低于成本价而导致投标报价无效。</w:t>
      </w:r>
    </w:p>
    <w:p w14:paraId="60E54FCB">
      <w:pPr>
        <w:numPr>
          <w:ilvl w:val="0"/>
          <w:numId w:val="4"/>
        </w:numPr>
        <w:tabs>
          <w:tab w:val="left" w:pos="420"/>
        </w:tabs>
        <w:spacing w:line="360" w:lineRule="auto"/>
        <w:ind w:left="0" w:firstLine="480" w:firstLineChars="200"/>
        <w:rPr>
          <w:rFonts w:asciiTheme="minorEastAsia" w:hAnsiTheme="minorEastAsia" w:cstheme="minorEastAsia"/>
          <w:sz w:val="24"/>
        </w:rPr>
      </w:pPr>
      <w:r>
        <w:rPr>
          <w:rFonts w:hint="eastAsia" w:asciiTheme="minorEastAsia" w:hAnsiTheme="minorEastAsia" w:cstheme="minorEastAsia"/>
          <w:sz w:val="24"/>
        </w:rPr>
        <w:t>由采购人按下列程序付款：</w:t>
      </w:r>
    </w:p>
    <w:p w14:paraId="6E9CDAA5">
      <w:pPr>
        <w:adjustRightInd w:val="0"/>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第一期：合同生效后，根据采购人下达的每项具体工作，由采购人按照基准费用（不超过最高限价）及投标下浮率计算工作费用并形成交办函、签订具体项目委托协议，并向中标人支付该项工作费用的40%作为预付款；第二期：中标人完成受委托项目的规划调整工作，通过审批部门审批通过，且经广州市规划和自然资源局花都区分局审查通过结题后，合同约定的应由中标人履行的所有义务已经履行完毕，结算中标人完成的成果，由采购人向中标人具体项目委托合同尾款。</w:t>
      </w:r>
    </w:p>
    <w:p w14:paraId="69B8039C">
      <w:pPr>
        <w:widowControl/>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中标人凭以下有效文件与采购人结算：</w:t>
      </w:r>
    </w:p>
    <w:p w14:paraId="7FE04D19">
      <w:pPr>
        <w:numPr>
          <w:ilvl w:val="0"/>
          <w:numId w:val="6"/>
        </w:numPr>
        <w:adjustRightInd w:val="0"/>
        <w:spacing w:line="360" w:lineRule="auto"/>
        <w:rPr>
          <w:rFonts w:asciiTheme="minorEastAsia" w:hAnsiTheme="minorEastAsia" w:cstheme="minorEastAsia"/>
          <w:sz w:val="24"/>
        </w:rPr>
      </w:pPr>
      <w:r>
        <w:rPr>
          <w:rFonts w:hint="eastAsia" w:asciiTheme="minorEastAsia" w:hAnsiTheme="minorEastAsia" w:cstheme="minorEastAsia"/>
          <w:sz w:val="24"/>
        </w:rPr>
        <w:t>合同；</w:t>
      </w:r>
    </w:p>
    <w:p w14:paraId="438F7F89">
      <w:pPr>
        <w:numPr>
          <w:ilvl w:val="0"/>
          <w:numId w:val="6"/>
        </w:numPr>
        <w:adjustRightInd w:val="0"/>
        <w:spacing w:line="360" w:lineRule="auto"/>
        <w:rPr>
          <w:rFonts w:asciiTheme="minorEastAsia" w:hAnsiTheme="minorEastAsia" w:cstheme="minorEastAsia"/>
          <w:sz w:val="24"/>
        </w:rPr>
      </w:pPr>
      <w:r>
        <w:rPr>
          <w:rFonts w:hint="eastAsia" w:asciiTheme="minorEastAsia" w:hAnsiTheme="minorEastAsia" w:cstheme="minorEastAsia"/>
          <w:sz w:val="24"/>
        </w:rPr>
        <w:t>中标人开具的正式发票；</w:t>
      </w:r>
    </w:p>
    <w:p w14:paraId="5EA7F0D0">
      <w:pPr>
        <w:numPr>
          <w:ilvl w:val="0"/>
          <w:numId w:val="6"/>
        </w:numPr>
        <w:adjustRightInd w:val="0"/>
        <w:spacing w:line="360" w:lineRule="auto"/>
        <w:rPr>
          <w:rFonts w:asciiTheme="minorEastAsia" w:hAnsiTheme="minorEastAsia" w:cstheme="minorEastAsia"/>
          <w:sz w:val="24"/>
        </w:rPr>
      </w:pPr>
      <w:r>
        <w:rPr>
          <w:rFonts w:hint="eastAsia" w:asciiTheme="minorEastAsia" w:hAnsiTheme="minorEastAsia" w:cstheme="minorEastAsia"/>
          <w:sz w:val="24"/>
        </w:rPr>
        <w:t>中标通知书。</w:t>
      </w:r>
    </w:p>
    <w:p w14:paraId="1B8CF34B">
      <w:pPr>
        <w:spacing w:line="360" w:lineRule="auto"/>
        <w:ind w:firstLine="480" w:firstLineChars="200"/>
        <w:rPr>
          <w:rFonts w:asciiTheme="minorEastAsia" w:hAnsiTheme="minorEastAsia" w:cstheme="minorEastAsia"/>
          <w:sz w:val="24"/>
        </w:rPr>
      </w:pPr>
      <w:r>
        <w:rPr>
          <w:rFonts w:hint="eastAsia" w:asciiTheme="minorEastAsia" w:hAnsiTheme="minorEastAsia" w:cstheme="minorEastAsia"/>
          <w:sz w:val="24"/>
        </w:rPr>
        <w:t>因采购人使用的是财政资金，采购人在前款规定的付款时间为向政府采购支付部门提出办理财政支付申请手续的时间（不含政府财政支付部门审核的时间），在规定时间内提出支付申请手续后即视为采购人已经按期支付。</w:t>
      </w:r>
    </w:p>
    <w:p w14:paraId="6D91F256">
      <w:pPr>
        <w:numPr>
          <w:ilvl w:val="0"/>
          <w:numId w:val="1"/>
        </w:numPr>
        <w:spacing w:line="360" w:lineRule="auto"/>
        <w:ind w:firstLine="0"/>
        <w:jc w:val="center"/>
        <w:rPr>
          <w:rFonts w:asciiTheme="minorEastAsia" w:hAnsiTheme="minorEastAsia" w:cstheme="minorEastAsia"/>
          <w:b/>
          <w:sz w:val="24"/>
        </w:rPr>
      </w:pPr>
      <w:r>
        <w:rPr>
          <w:rFonts w:hint="eastAsia" w:asciiTheme="minorEastAsia" w:hAnsiTheme="minorEastAsia" w:cstheme="minorEastAsia"/>
          <w:b/>
          <w:sz w:val="24"/>
        </w:rPr>
        <w:t>附则</w:t>
      </w:r>
    </w:p>
    <w:p w14:paraId="7B31B5D5">
      <w:pPr>
        <w:pStyle w:val="9"/>
        <w:numPr>
          <w:ilvl w:val="0"/>
          <w:numId w:val="2"/>
        </w:numPr>
        <w:tabs>
          <w:tab w:val="left" w:pos="1320"/>
          <w:tab w:val="left" w:pos="1540"/>
          <w:tab w:val="left" w:pos="1980"/>
        </w:tabs>
        <w:spacing w:line="360" w:lineRule="auto"/>
        <w:ind w:left="0"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 xml:space="preserve"> 本次规划成果的署名权归设计单位所有，版权归广州市花都区土地开发储备中心所有。广州市花都区土地开发储备中心有权在审查期间及审批后公开展示本次规划成果，并通过传播媒介、专业杂志、书刊或其它形式介绍、展示及评价规划成果。</w:t>
      </w:r>
    </w:p>
    <w:p w14:paraId="3A4E2F7E">
      <w:pPr>
        <w:pStyle w:val="9"/>
        <w:numPr>
          <w:ilvl w:val="0"/>
          <w:numId w:val="2"/>
        </w:numPr>
        <w:tabs>
          <w:tab w:val="left" w:pos="1320"/>
          <w:tab w:val="left" w:pos="1540"/>
          <w:tab w:val="left" w:pos="1980"/>
        </w:tabs>
        <w:spacing w:line="360" w:lineRule="auto"/>
        <w:ind w:left="0"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本次规划委托实施单位及组织单位有权根据实际需要对规划成果进行综合、优化和修改。</w:t>
      </w:r>
    </w:p>
    <w:p w14:paraId="21B7C4DE">
      <w:pPr>
        <w:pStyle w:val="9"/>
        <w:numPr>
          <w:ilvl w:val="0"/>
          <w:numId w:val="2"/>
        </w:numPr>
        <w:tabs>
          <w:tab w:val="left" w:pos="1320"/>
          <w:tab w:val="left" w:pos="1540"/>
          <w:tab w:val="left" w:pos="1980"/>
        </w:tabs>
        <w:spacing w:line="360" w:lineRule="auto"/>
        <w:ind w:left="0"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规划成果有下列情况之一者无效：</w:t>
      </w:r>
    </w:p>
    <w:p w14:paraId="6E0A9793">
      <w:pPr>
        <w:numPr>
          <w:ilvl w:val="0"/>
          <w:numId w:val="7"/>
        </w:numPr>
        <w:adjustRightInd w:val="0"/>
        <w:spacing w:line="360" w:lineRule="auto"/>
        <w:rPr>
          <w:rFonts w:asciiTheme="minorEastAsia" w:hAnsiTheme="minorEastAsia" w:cstheme="minorEastAsia"/>
          <w:sz w:val="24"/>
        </w:rPr>
      </w:pPr>
      <w:r>
        <w:rPr>
          <w:rFonts w:hint="eastAsia" w:asciiTheme="minorEastAsia" w:hAnsiTheme="minorEastAsia" w:cstheme="minorEastAsia"/>
          <w:sz w:val="24"/>
        </w:rPr>
        <w:t>提交的成果不符合本任务书规定的成果内容和格式；</w:t>
      </w:r>
    </w:p>
    <w:p w14:paraId="2DEB66A2">
      <w:pPr>
        <w:numPr>
          <w:ilvl w:val="0"/>
          <w:numId w:val="7"/>
        </w:numPr>
        <w:adjustRightInd w:val="0"/>
        <w:spacing w:line="360" w:lineRule="auto"/>
        <w:rPr>
          <w:rFonts w:asciiTheme="minorEastAsia" w:hAnsiTheme="minorEastAsia" w:cstheme="minorEastAsia"/>
          <w:sz w:val="24"/>
        </w:rPr>
      </w:pPr>
      <w:r>
        <w:rPr>
          <w:rFonts w:hint="eastAsia" w:asciiTheme="minorEastAsia" w:hAnsiTheme="minorEastAsia" w:cstheme="minorEastAsia"/>
          <w:sz w:val="24"/>
        </w:rPr>
        <w:t>未经组织单位同意而逾期送达；</w:t>
      </w:r>
    </w:p>
    <w:p w14:paraId="57654397">
      <w:pPr>
        <w:numPr>
          <w:ilvl w:val="0"/>
          <w:numId w:val="7"/>
        </w:numPr>
        <w:adjustRightInd w:val="0"/>
        <w:spacing w:line="360" w:lineRule="auto"/>
        <w:rPr>
          <w:rFonts w:asciiTheme="minorEastAsia" w:hAnsiTheme="minorEastAsia" w:cstheme="minorEastAsia"/>
          <w:sz w:val="24"/>
        </w:rPr>
      </w:pPr>
      <w:r>
        <w:rPr>
          <w:rFonts w:hint="eastAsia" w:asciiTheme="minorEastAsia" w:hAnsiTheme="minorEastAsia" w:cstheme="minorEastAsia"/>
          <w:sz w:val="24"/>
        </w:rPr>
        <w:t>有关交通调查数据和经济技术指标严重不实；</w:t>
      </w:r>
    </w:p>
    <w:p w14:paraId="5ECFBB10">
      <w:pPr>
        <w:numPr>
          <w:ilvl w:val="0"/>
          <w:numId w:val="7"/>
        </w:numPr>
        <w:adjustRightInd w:val="0"/>
        <w:spacing w:line="360" w:lineRule="auto"/>
        <w:rPr>
          <w:rFonts w:asciiTheme="minorEastAsia" w:hAnsiTheme="minorEastAsia" w:cstheme="minorEastAsia"/>
          <w:sz w:val="24"/>
        </w:rPr>
      </w:pPr>
      <w:r>
        <w:rPr>
          <w:rFonts w:hint="eastAsia" w:asciiTheme="minorEastAsia" w:hAnsiTheme="minorEastAsia" w:cstheme="minorEastAsia"/>
          <w:sz w:val="24"/>
        </w:rPr>
        <w:t>图纸和文字辨认不清、内容不全、粗制滥造。</w:t>
      </w:r>
    </w:p>
    <w:p w14:paraId="08371359">
      <w:pPr>
        <w:pStyle w:val="9"/>
        <w:numPr>
          <w:ilvl w:val="0"/>
          <w:numId w:val="2"/>
        </w:numPr>
        <w:tabs>
          <w:tab w:val="left" w:pos="1320"/>
          <w:tab w:val="left" w:pos="1540"/>
          <w:tab w:val="left" w:pos="1980"/>
        </w:tabs>
        <w:spacing w:line="360" w:lineRule="auto"/>
        <w:ind w:left="0" w:firstLine="480"/>
        <w:rPr>
          <w:rFonts w:asciiTheme="minorEastAsia" w:hAnsiTheme="minorEastAsia" w:eastAsiaTheme="minorEastAsia" w:cstheme="minorEastAsia"/>
          <w:sz w:val="24"/>
        </w:rPr>
      </w:pPr>
      <w:r>
        <w:rPr>
          <w:rFonts w:hint="eastAsia" w:asciiTheme="minorEastAsia" w:hAnsiTheme="minorEastAsia" w:eastAsiaTheme="minorEastAsia" w:cstheme="minorEastAsia"/>
          <w:sz w:val="24"/>
        </w:rPr>
        <w:t>本规划任务书的解释权归广州市花都区土地开发储备中心所有。</w:t>
      </w:r>
    </w:p>
    <w:p w14:paraId="0EF4EF8C">
      <w:pPr>
        <w:jc w:val="center"/>
        <w:rPr>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7A7C7B"/>
    <w:multiLevelType w:val="singleLevel"/>
    <w:tmpl w:val="8B7A7C7B"/>
    <w:lvl w:ilvl="0" w:tentative="0">
      <w:start w:val="1"/>
      <w:numFmt w:val="decimal"/>
      <w:lvlText w:val="%1."/>
      <w:lvlJc w:val="left"/>
      <w:pPr>
        <w:tabs>
          <w:tab w:val="left" w:pos="846"/>
        </w:tabs>
        <w:ind w:left="851" w:hanging="425"/>
      </w:pPr>
      <w:rPr>
        <w:rFonts w:hint="default"/>
      </w:rPr>
    </w:lvl>
  </w:abstractNum>
  <w:abstractNum w:abstractNumId="1">
    <w:nsid w:val="9C0357ED"/>
    <w:multiLevelType w:val="singleLevel"/>
    <w:tmpl w:val="9C0357ED"/>
    <w:lvl w:ilvl="0" w:tentative="0">
      <w:start w:val="1"/>
      <w:numFmt w:val="decimal"/>
      <w:suff w:val="nothing"/>
      <w:lvlText w:val="%1．"/>
      <w:lvlJc w:val="left"/>
      <w:pPr>
        <w:ind w:left="0" w:firstLine="400"/>
      </w:pPr>
      <w:rPr>
        <w:rFonts w:hint="default"/>
      </w:rPr>
    </w:lvl>
  </w:abstractNum>
  <w:abstractNum w:abstractNumId="2">
    <w:nsid w:val="9EC525D0"/>
    <w:multiLevelType w:val="singleLevel"/>
    <w:tmpl w:val="9EC525D0"/>
    <w:lvl w:ilvl="0" w:tentative="0">
      <w:start w:val="1"/>
      <w:numFmt w:val="decimal"/>
      <w:lvlText w:val="(%1)"/>
      <w:lvlJc w:val="left"/>
      <w:pPr>
        <w:ind w:left="425" w:hanging="425"/>
      </w:pPr>
      <w:rPr>
        <w:rFonts w:hint="default"/>
      </w:rPr>
    </w:lvl>
  </w:abstractNum>
  <w:abstractNum w:abstractNumId="3">
    <w:nsid w:val="A830A0BF"/>
    <w:multiLevelType w:val="singleLevel"/>
    <w:tmpl w:val="A830A0BF"/>
    <w:lvl w:ilvl="0" w:tentative="0">
      <w:start w:val="1"/>
      <w:numFmt w:val="decimal"/>
      <w:suff w:val="nothing"/>
      <w:lvlText w:val="%1．"/>
      <w:lvlJc w:val="left"/>
      <w:pPr>
        <w:ind w:left="0" w:firstLine="400"/>
      </w:pPr>
      <w:rPr>
        <w:rFonts w:hint="default"/>
      </w:rPr>
    </w:lvl>
  </w:abstractNum>
  <w:abstractNum w:abstractNumId="4">
    <w:nsid w:val="01547543"/>
    <w:multiLevelType w:val="singleLevel"/>
    <w:tmpl w:val="01547543"/>
    <w:lvl w:ilvl="0" w:tentative="0">
      <w:start w:val="1"/>
      <w:numFmt w:val="decimal"/>
      <w:lvlText w:val="(%1)"/>
      <w:lvlJc w:val="left"/>
      <w:pPr>
        <w:ind w:left="425" w:hanging="425"/>
      </w:pPr>
      <w:rPr>
        <w:rFonts w:hint="default"/>
      </w:rPr>
    </w:lvl>
  </w:abstractNum>
  <w:abstractNum w:abstractNumId="5">
    <w:nsid w:val="561BDE56"/>
    <w:multiLevelType w:val="singleLevel"/>
    <w:tmpl w:val="561BDE56"/>
    <w:lvl w:ilvl="0" w:tentative="0">
      <w:start w:val="1"/>
      <w:numFmt w:val="chineseCounting"/>
      <w:suff w:val="nothing"/>
      <w:lvlText w:val="%1、"/>
      <w:lvlJc w:val="left"/>
      <w:pPr>
        <w:ind w:left="0" w:firstLine="420"/>
      </w:pPr>
      <w:rPr>
        <w:rFonts w:hint="eastAsia"/>
      </w:rPr>
    </w:lvl>
  </w:abstractNum>
  <w:abstractNum w:abstractNumId="6">
    <w:nsid w:val="6EBC7E6C"/>
    <w:multiLevelType w:val="multilevel"/>
    <w:tmpl w:val="6EBC7E6C"/>
    <w:lvl w:ilvl="0" w:tentative="0">
      <w:start w:val="1"/>
      <w:numFmt w:val="japaneseCounting"/>
      <w:lvlText w:val="第%1条"/>
      <w:lvlJc w:val="left"/>
      <w:pPr>
        <w:ind w:left="1110" w:hanging="1110"/>
      </w:pPr>
      <w:rPr>
        <w:rFonts w:hint="default" w:cs="Times New Roman"/>
        <w:b/>
        <w:color w:val="auto"/>
      </w:rPr>
    </w:lvl>
    <w:lvl w:ilvl="1" w:tentative="0">
      <w:start w:val="1"/>
      <w:numFmt w:val="lowerLetter"/>
      <w:lvlText w:val="%2)"/>
      <w:lvlJc w:val="left"/>
      <w:pPr>
        <w:ind w:left="840" w:hanging="420"/>
      </w:pPr>
      <w:rPr>
        <w:rFonts w:cs="Times New Roman"/>
      </w:rPr>
    </w:lvl>
    <w:lvl w:ilvl="2" w:tentative="0">
      <w:start w:val="1"/>
      <w:numFmt w:val="lowerRoman"/>
      <w:lvlText w:val="%3."/>
      <w:lvlJc w:val="right"/>
      <w:pPr>
        <w:ind w:left="1260" w:hanging="420"/>
      </w:pPr>
      <w:rPr>
        <w:rFonts w:cs="Times New Roman"/>
      </w:rPr>
    </w:lvl>
    <w:lvl w:ilvl="3" w:tentative="0">
      <w:start w:val="1"/>
      <w:numFmt w:val="decimal"/>
      <w:lvlText w:val="%4."/>
      <w:lvlJc w:val="left"/>
      <w:pPr>
        <w:ind w:left="1680" w:hanging="420"/>
      </w:pPr>
      <w:rPr>
        <w:rFonts w:cs="Times New Roman"/>
      </w:rPr>
    </w:lvl>
    <w:lvl w:ilvl="4" w:tentative="0">
      <w:start w:val="1"/>
      <w:numFmt w:val="lowerLetter"/>
      <w:lvlText w:val="%5)"/>
      <w:lvlJc w:val="left"/>
      <w:pPr>
        <w:ind w:left="2100" w:hanging="420"/>
      </w:pPr>
      <w:rPr>
        <w:rFonts w:cs="Times New Roman"/>
      </w:rPr>
    </w:lvl>
    <w:lvl w:ilvl="5" w:tentative="0">
      <w:start w:val="1"/>
      <w:numFmt w:val="lowerRoman"/>
      <w:lvlText w:val="%6."/>
      <w:lvlJc w:val="right"/>
      <w:pPr>
        <w:ind w:left="2520" w:hanging="420"/>
      </w:pPr>
      <w:rPr>
        <w:rFonts w:cs="Times New Roman"/>
      </w:rPr>
    </w:lvl>
    <w:lvl w:ilvl="6" w:tentative="0">
      <w:start w:val="1"/>
      <w:numFmt w:val="decimal"/>
      <w:lvlText w:val="%7."/>
      <w:lvlJc w:val="left"/>
      <w:pPr>
        <w:ind w:left="2940" w:hanging="420"/>
      </w:pPr>
      <w:rPr>
        <w:rFonts w:cs="Times New Roman"/>
      </w:rPr>
    </w:lvl>
    <w:lvl w:ilvl="7" w:tentative="0">
      <w:start w:val="1"/>
      <w:numFmt w:val="lowerLetter"/>
      <w:lvlText w:val="%8)"/>
      <w:lvlJc w:val="left"/>
      <w:pPr>
        <w:ind w:left="3360" w:hanging="420"/>
      </w:pPr>
      <w:rPr>
        <w:rFonts w:cs="Times New Roman"/>
      </w:rPr>
    </w:lvl>
    <w:lvl w:ilvl="8" w:tentative="0">
      <w:start w:val="1"/>
      <w:numFmt w:val="lowerRoman"/>
      <w:lvlText w:val="%9."/>
      <w:lvlJc w:val="right"/>
      <w:pPr>
        <w:ind w:left="3780" w:hanging="420"/>
      </w:pPr>
      <w:rPr>
        <w:rFonts w:cs="Times New Roman"/>
      </w:rPr>
    </w:lvl>
  </w:abstractNum>
  <w:num w:numId="1">
    <w:abstractNumId w:val="5"/>
  </w:num>
  <w:num w:numId="2">
    <w:abstractNumId w:val="6"/>
  </w:num>
  <w:num w:numId="3">
    <w:abstractNumId w:val="2"/>
  </w:num>
  <w:num w:numId="4">
    <w:abstractNumId w:val="0"/>
  </w:num>
  <w:num w:numId="5">
    <w:abstractNumId w:val="4"/>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JiOGM4Nzc2NWIyMzQxMmM0ZGUxNWYxYTk1ZjNiMmIifQ=="/>
  </w:docVars>
  <w:rsids>
    <w:rsidRoot w:val="2B442ACA"/>
    <w:rsid w:val="00A6267F"/>
    <w:rsid w:val="00C63951"/>
    <w:rsid w:val="2B442ACA"/>
    <w:rsid w:val="38CD66BC"/>
    <w:rsid w:val="5C747105"/>
    <w:rsid w:val="7A550D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Normal Indent"/>
    <w:basedOn w:val="1"/>
    <w:next w:val="3"/>
    <w:qFormat/>
    <w:uiPriority w:val="99"/>
    <w:pPr>
      <w:ind w:firstLine="420" w:firstLineChars="200"/>
    </w:pPr>
  </w:style>
  <w:style w:type="paragraph" w:styleId="3">
    <w:name w:val="toc 4"/>
    <w:basedOn w:val="1"/>
    <w:next w:val="1"/>
    <w:qFormat/>
    <w:uiPriority w:val="0"/>
    <w:pPr>
      <w:ind w:left="1260" w:leftChars="600"/>
    </w:pPr>
  </w:style>
  <w:style w:type="paragraph" w:styleId="4">
    <w:name w:val="Body Text"/>
    <w:basedOn w:val="1"/>
    <w:next w:val="5"/>
    <w:qFormat/>
    <w:uiPriority w:val="1"/>
    <w:rPr>
      <w:rFonts w:ascii="宋体" w:hAnsi="宋体" w:eastAsia="宋体" w:cs="宋体"/>
      <w:sz w:val="19"/>
      <w:szCs w:val="19"/>
      <w:lang w:val="zh-CN" w:bidi="zh-CN"/>
    </w:rPr>
  </w:style>
  <w:style w:type="paragraph" w:styleId="5">
    <w:name w:val="Body Text 2"/>
    <w:basedOn w:val="1"/>
    <w:qFormat/>
    <w:uiPriority w:val="0"/>
  </w:style>
  <w:style w:type="paragraph" w:customStyle="1" w:styleId="8">
    <w:name w:val="样式4"/>
    <w:basedOn w:val="1"/>
    <w:qFormat/>
    <w:uiPriority w:val="0"/>
    <w:rPr>
      <w:rFonts w:ascii="Times New Roman" w:hAnsi="Times New Roman" w:eastAsia="宋体"/>
      <w:sz w:val="24"/>
    </w:rPr>
  </w:style>
  <w:style w:type="paragraph" w:customStyle="1" w:styleId="9">
    <w:name w:val="列出段落1"/>
    <w:basedOn w:val="1"/>
    <w:qFormat/>
    <w:uiPriority w:val="0"/>
    <w:pPr>
      <w:ind w:firstLine="420" w:firstLineChars="200"/>
    </w:pPr>
    <w:rPr>
      <w:rFonts w:ascii="Calibri" w:hAnsi="Calibri" w:eastAsia="宋体" w:cs="Times New Roma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7</Pages>
  <Words>4615</Words>
  <Characters>4735</Characters>
  <Lines>34</Lines>
  <Paragraphs>9</Paragraphs>
  <TotalTime>0</TotalTime>
  <ScaleCrop>false</ScaleCrop>
  <LinksUpToDate>false</LinksUpToDate>
  <CharactersWithSpaces>4738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2024-10-17T07:05:00Z</dcterms:created>
  <dc:creator>国和</dc:creator>
  <cp:lastModifiedBy>国和</cp:lastModifiedBy>
  <dcterms:modified xsi:type="dcterms:W3CDTF">2024-10-21T01:49:27Z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6224CCEBDF824BCAAC15FB35E00FC986_11</vt:lpwstr>
  </property>
</Properties>
</file>